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sz w:val="30"/>
          <w:szCs w:val="30"/>
          <w:shd w:fill="d9d2e9" w:val="clear"/>
        </w:rPr>
      </w:pP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احكام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عامة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أ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نشاطات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أسواق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والأعضاء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المعتمدين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والمتعاملين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وأية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أنشطة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جديدة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تقرها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لأحكام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القانون</w:t>
      </w:r>
    </w:p>
    <w:p w:rsidR="00000000" w:rsidDel="00000000" w:rsidP="00000000" w:rsidRDefault="00000000" w:rsidRPr="00000000" w14:paraId="00000003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ب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-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إصدار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وطرح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للاكتتاب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وتداولها</w:t>
      </w:r>
    </w:p>
    <w:p w:rsidR="00000000" w:rsidDel="00000000" w:rsidP="00000000" w:rsidRDefault="00000000" w:rsidRPr="00000000" w14:paraId="00000004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ج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المستشارين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الاستثماريين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المسؤولين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الإداريين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المستشارين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خبراء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مركز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الإيداع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والتحويل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والتسوية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الصناديق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الاستثمارية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ومديري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الصناديق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خدمات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الحفظ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الأمين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مصدري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حاملي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الرئيسيين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نشاط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تقره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ً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لأحكام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القانون</w:t>
      </w:r>
    </w:p>
    <w:p w:rsidR="00000000" w:rsidDel="00000000" w:rsidP="00000000" w:rsidRDefault="00000000" w:rsidRPr="00000000" w14:paraId="00000005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المفاهيم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:-</w:t>
      </w:r>
    </w:p>
    <w:p w:rsidR="00000000" w:rsidDel="00000000" w:rsidP="00000000" w:rsidRDefault="00000000" w:rsidRPr="00000000" w14:paraId="00000007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🔹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الهيئة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رأس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🔹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السوق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فلسطين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لتداول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مرخص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قبل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لأحكام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المركز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مركز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الإيداع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والتحويل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والتسوية</w:t>
      </w:r>
    </w:p>
    <w:p w:rsidR="00000000" w:rsidDel="00000000" w:rsidP="00000000" w:rsidRDefault="00000000" w:rsidRPr="00000000" w14:paraId="0000000B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الشخص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الطبيعي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الاعتباري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المستثمر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يتعامل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بيعا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شراء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بهدف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تحقيق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الربح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الجمهور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الأشخاص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الذين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يتأثرون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بشكل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مباشر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غير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مباشر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بالحركة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والاستثمارية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الأقارب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أقارب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الطبيعي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حتى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الدرجة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الثانية</w:t>
      </w:r>
    </w:p>
    <w:p w:rsidR="00000000" w:rsidDel="00000000" w:rsidP="00000000" w:rsidRDefault="00000000" w:rsidRPr="00000000" w14:paraId="0000000F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المؤسسات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العامة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المساهمة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العامة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تمتلك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الحكومة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أغلبية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الأسهم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تمارس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الحكومة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سلطة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فعلية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قواعد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الأنظمة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والتعليمات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تقرها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وتوافق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لتنظيم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عمل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</w:p>
    <w:p w:rsidR="00000000" w:rsidDel="00000000" w:rsidP="00000000" w:rsidRDefault="00000000" w:rsidRPr="00000000" w14:paraId="00000011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شركة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المالية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الشركة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نشاطها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الرئيس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القيام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بأعمال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متعلقة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بتداول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لحساب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الآخرين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لحسابها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الخاص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والنشاطات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الأخرى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وفق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العضو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شركة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المرخص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والمنتسبة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المركز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والشركات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المدرجة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والحافظ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الأمين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المنتسب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وصناديق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الاستثمار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المدرجة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الإصدار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الخاص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عرض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محدودة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30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شخصا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أقل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للاكتتاب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فيما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يزيد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10%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للإصدار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الواحد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الإصدار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العام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عرض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للاكتتاب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العام</w:t>
      </w:r>
    </w:p>
    <w:p w:rsidR="00000000" w:rsidDel="00000000" w:rsidP="00000000" w:rsidRDefault="00000000" w:rsidRPr="00000000" w14:paraId="00000016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الإكتتاب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العام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طرح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للجمهور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العرض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العام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الطلب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يتقدم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لشراء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10%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أكثر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للمصدر</w:t>
      </w:r>
    </w:p>
    <w:p w:rsidR="00000000" w:rsidDel="00000000" w:rsidP="00000000" w:rsidRDefault="00000000" w:rsidRPr="00000000" w14:paraId="00000018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الحافظ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الأمين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الاعتباري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يمارس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أعمال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الحفظ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الأمين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</w:p>
    <w:p w:rsidR="00000000" w:rsidDel="00000000" w:rsidP="00000000" w:rsidRDefault="00000000" w:rsidRPr="00000000" w14:paraId="00000019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أمين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الإصدار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المؤهل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الممثل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لحاملي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سندات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القرض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لأحكام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واللوائح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والتعليمات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بمقتضاه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متعهد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التغطية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المرخص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شراء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ُ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صدر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وإعادة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بيعها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وكيل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الإصدار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المرخص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بيع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نيابة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ُ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صدر</w:t>
      </w:r>
    </w:p>
    <w:p w:rsidR="00000000" w:rsidDel="00000000" w:rsidP="00000000" w:rsidRDefault="00000000" w:rsidRPr="00000000" w14:paraId="0000001C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المستشار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المالي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الطبيعي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يمتهن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النصح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والإرشاد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مجال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الاستثمار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للجمهور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لحسابه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لحساب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شركة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مستشار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الاستثمار</w:t>
      </w:r>
    </w:p>
    <w:p w:rsidR="00000000" w:rsidDel="00000000" w:rsidP="00000000" w:rsidRDefault="00000000" w:rsidRPr="00000000" w14:paraId="0000001D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مستشار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الاستثمار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يمتهن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النصح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والمشورة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للآخرين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بخصوص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والاستثمار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وإصدار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التقارير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وإجراء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البحوث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والجدوى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المتعلقة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الموظف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التنفيذي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الطبيعي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يؤدي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أيا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وظائف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الإدارة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لشركة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مستشار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الاستثمار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صندوق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الاستثمار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الاعتباري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المرخص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والذي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يقوم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بتجميع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رأس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مستثمرين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واستثماره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نيابة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عنهم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محفظة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أنواع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أصول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الاستثمار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عقد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التأسيس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وأنظمته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الداخلية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إداري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الصندوق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الطبيعي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الموافق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عليه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للعمل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الصندوق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أمين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الصندوق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الاعتباري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المرخص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للرقابة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نشاطات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الصندوق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والتزاماته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مدقق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الصندوق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مدقق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الحسابات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القانوني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للصندوق</w:t>
      </w:r>
    </w:p>
    <w:p w:rsidR="00000000" w:rsidDel="00000000" w:rsidP="00000000" w:rsidRDefault="00000000" w:rsidRPr="00000000" w14:paraId="00000023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مدير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الصندوق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الاعتباري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يمارس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أعمال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الصندوق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مدير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الاستثمار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يمارس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الاستثمار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للصندوق</w:t>
      </w:r>
    </w:p>
    <w:p w:rsidR="00000000" w:rsidDel="00000000" w:rsidP="00000000" w:rsidRDefault="00000000" w:rsidRPr="00000000" w14:paraId="00000025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سندات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القرض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هي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تطرحها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المساهمة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العامة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المؤسسات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الحكومية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المؤسسات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العامة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للاكتتاب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العام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والتداول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للحصول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بموجبها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قرض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تلتزم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الجهة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المصدرة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بسداد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قيمته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الاسمية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والفوائد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المترتبة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عليه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للشروط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الواردة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الإصدار</w:t>
      </w:r>
    </w:p>
    <w:p w:rsidR="00000000" w:rsidDel="00000000" w:rsidP="00000000" w:rsidRDefault="00000000" w:rsidRPr="00000000" w14:paraId="00000026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المالك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الرئيس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يمتلك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10 %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أكثر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بشكل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مباشر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غير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مباشر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ُ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صدر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المعلومات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الداخلية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الخاصة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بالمصدر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أوراقه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تنشر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بعد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المطلع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يطلع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الداخلية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بحكم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منصبه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وظيفته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ملكيته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علاقته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بشكل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مباشر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غير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مباشر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يحوز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المعلومات</w:t>
      </w:r>
    </w:p>
    <w:p w:rsidR="00000000" w:rsidDel="00000000" w:rsidP="00000000" w:rsidRDefault="00000000" w:rsidRPr="00000000" w14:paraId="00000029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الم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ُ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صـدر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الاعتباري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يصدر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أوراقا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يعلن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رغبته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إصدارها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شركة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الاستثمار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الشركة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نشاطها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الرئيس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الاستثمار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والاتجار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الشركة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تمتلك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تنوي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تملك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يزيد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(50%)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مجموع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موجوداتها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شكل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ولا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يشمل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التعريف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البنوك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التأمين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تمارس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أعمالها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بهذه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الصفة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المعلومة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الجوهرية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الواقعة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المعلومة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يؤثر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نشرها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سعر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الورقة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قرار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لشراء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الورقة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الاحتفاظ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بيعها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التصرف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التضليل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بيان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غير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صحيح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يتعلق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بمعلومة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جوهرية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حذف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إخفاء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لمعلومة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جوهرية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معلومة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لازمة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لتكون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البيانات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المقدمة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صحيحة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ودقيقة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وكاملة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الخـداع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عمل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ممارسة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خطة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نهج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وسيلة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يقصد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التغرير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بالآخرين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يؤدي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التغرير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بهم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السيطرة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القدرة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المباشرة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غير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المباشرة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ممارسة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تأثير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فعال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أعمال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آخر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وقراراته</w:t>
      </w:r>
    </w:p>
    <w:p w:rsidR="00000000" w:rsidDel="00000000" w:rsidP="00000000" w:rsidRDefault="00000000" w:rsidRPr="00000000" w14:paraId="0000002E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التداول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بيع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وشراء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</w:p>
    <w:p w:rsidR="00000000" w:rsidDel="00000000" w:rsidP="00000000" w:rsidRDefault="00000000" w:rsidRPr="00000000" w14:paraId="0000002F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عقد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التداول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العقـد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بموجبه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شراء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وبيعها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التقاص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العملية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يتم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بموجبها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احتساب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صافي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حقوق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والتزامات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أطراف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التداول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الناشئة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عقد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التداول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وذلك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لتسديد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أثمانها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التاريخ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المحدد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للتسوية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التسوية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العملية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يتم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بموجبها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إتمام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عقد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التداول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ونقل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ملكية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البائع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المشتري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وتسديد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أثمانها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بشكل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نهائي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وغير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مشروط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الإدراج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تسجيل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الخاصة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بالشركة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بهدف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التداول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وإجراء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عمليات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تسوية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عقود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البيع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والشراء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ونقل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ملكيتها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خلال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المركز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الإفصاح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الكشف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تهم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المستثمرين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والجمهور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تؤثر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سعر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الورقة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الشركة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المدرجة</w:t>
      </w:r>
      <w:r w:rsidDel="00000000" w:rsidR="00000000" w:rsidRPr="00000000">
        <w:rPr>
          <w:b w:val="1"/>
          <w:sz w:val="30"/>
          <w:szCs w:val="30"/>
          <w:shd w:fill="d5a6bd" w:val="clear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شركة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إدراج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أوراقها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===========================</w:t>
      </w:r>
    </w:p>
    <w:p w:rsidR="00000000" w:rsidDel="00000000" w:rsidP="00000000" w:rsidRDefault="00000000" w:rsidRPr="00000000" w14:paraId="00000036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(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يقصد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حقوق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ملكية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أدوات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دين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سواء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كانت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محلية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أجنبية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توافق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اعتمادها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كذلك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37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تشمل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بصورة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خاصة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يلي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:</w:t>
      </w:r>
    </w:p>
    <w:p w:rsidR="00000000" w:rsidDel="00000000" w:rsidP="00000000" w:rsidRDefault="00000000" w:rsidRPr="00000000" w14:paraId="00000039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الأسهم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والسندات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            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الوحدات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الاستثمارية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صناديق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الاستثمار</w:t>
      </w:r>
    </w:p>
    <w:p w:rsidR="00000000" w:rsidDel="00000000" w:rsidP="00000000" w:rsidRDefault="00000000" w:rsidRPr="00000000" w14:paraId="0000003B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ج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المشتقات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ومنها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الأسهم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والسندات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القابلة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للتحويل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وعقود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خيار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البيع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وعقود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خيار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الشراء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العقود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آنية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التسوية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والعقود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آجلة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التسوية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 </w:t>
      </w:r>
    </w:p>
    <w:p w:rsidR="00000000" w:rsidDel="00000000" w:rsidP="00000000" w:rsidRDefault="00000000" w:rsidRPr="00000000" w14:paraId="0000003D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============================</w:t>
      </w:r>
    </w:p>
    <w:p w:rsidR="00000000" w:rsidDel="00000000" w:rsidP="00000000" w:rsidRDefault="00000000" w:rsidRPr="00000000" w14:paraId="0000003E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 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لا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تعتبر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أوراقا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مالية</w:t>
      </w:r>
    </w:p>
    <w:p w:rsidR="00000000" w:rsidDel="00000000" w:rsidP="00000000" w:rsidRDefault="00000000" w:rsidRPr="00000000" w14:paraId="0000003F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b w:val="1"/>
          <w:sz w:val="30"/>
          <w:szCs w:val="30"/>
          <w:shd w:fill="b4a7d6" w:val="clear"/>
          <w:rtl w:val="0"/>
        </w:rPr>
        <w:t xml:space="preserve">    </w:t>
      </w:r>
    </w:p>
    <w:p w:rsidR="00000000" w:rsidDel="00000000" w:rsidP="00000000" w:rsidRDefault="00000000" w:rsidRPr="00000000" w14:paraId="00000040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1.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التجارية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ذلك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الشيكات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والكمبيالات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2.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الاعتمادات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المستندية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والحوالات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والأدوات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تتداولها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المصارف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حصرا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فيما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بينها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3.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بوالص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التأمين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والحقوق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المترتبة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صناديق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التقاعد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للمنتفعين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تتم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تغذيتها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غير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مصادر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مساهماتهم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3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===========================</w:t>
      </w:r>
    </w:p>
    <w:p w:rsidR="00000000" w:rsidDel="00000000" w:rsidP="00000000" w:rsidRDefault="00000000" w:rsidRPr="00000000" w14:paraId="00000045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بما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لا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يتعارض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مع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صلاحيات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يكون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للسوق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الصلاحيات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التالية</w:t>
      </w:r>
    </w:p>
    <w:p w:rsidR="00000000" w:rsidDel="00000000" w:rsidP="00000000" w:rsidRDefault="00000000" w:rsidRPr="00000000" w14:paraId="00000046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1.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التنظيم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والإشراف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والرقابة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نشاطات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ونشاطات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المصدرين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والشركات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المدرجة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فيما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يتعلق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بأوراقهم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8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2.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تنظيم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التعامل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لحماية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مالكي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والمستثمرين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والجمهور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الغش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والخداع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والممارسات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غير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العادلة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للقواعد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تصدرها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9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3.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وضع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قواعد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الممارسة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والإشراف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وإجراءات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الرقابة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والتنفيذ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لضمان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حسن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تنظيم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وتشغيل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وإدارة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ومراقبة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بعد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الحصول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موافقة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4.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تضع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وتفرض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رسوما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والمدرجة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مقابل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استخدام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تجهيزاتها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وخدماتها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ذلك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رسوم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التسجيل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ورسوم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العضوية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ورسوم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التداول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ورسوم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الإدراج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بعد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موافقة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5.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تطبيق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قواعد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وإجراءات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الرقابة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وتنفيذها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وتشمل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يلي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4C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       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٠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الوضع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للشركات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ومتطلبات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التدقيق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للمعايير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الدولية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         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الإطلاع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دفاتر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وسجلات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         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ج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إرسال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التقارير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الدورية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نشاطات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         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مراعاة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أخلاقيات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المهنة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المقرة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والنافذة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حسب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التعليمات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1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6.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إجراء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التحقيقات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الخاصة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بالشركات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والشركات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المدرجة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وفرض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الغرامات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مخالفة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قواعدهما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تعرض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الغرامات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تفرضها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وتبقى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سارية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المفعول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تنقضها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3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7.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ولأسباب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مبررة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تطلب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تعليق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التعامل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متداولة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وقف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أعمال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أعضائه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للمدة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تراها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مناسبة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=================================</w:t>
      </w:r>
    </w:p>
    <w:p w:rsidR="00000000" w:rsidDel="00000000" w:rsidP="00000000" w:rsidRDefault="00000000" w:rsidRPr="00000000" w14:paraId="00000056">
      <w:pPr>
        <w:bidi w:val="1"/>
        <w:rPr>
          <w:b w:val="1"/>
          <w:sz w:val="30"/>
          <w:szCs w:val="30"/>
          <w:shd w:fill="d9d2e9" w:val="clear"/>
        </w:rPr>
      </w:pP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الإعفاء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المسؤولية</w:t>
      </w:r>
    </w:p>
    <w:p w:rsidR="00000000" w:rsidDel="00000000" w:rsidP="00000000" w:rsidRDefault="00000000" w:rsidRPr="00000000" w14:paraId="00000057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{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يعتبر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المركز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مسؤول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موظف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وكيل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جهة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متعاقدة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معها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مسؤولا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تصرف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أداء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إحدى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واجبات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المركز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ممارسة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صلاحية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اللوائح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التعليمات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قواعد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إلا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إذا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تسبب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إحداث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الضرر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للغير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نتيجة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خطئه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الجسيم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إهماله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.}</w:t>
      </w:r>
    </w:p>
    <w:p w:rsidR="00000000" w:rsidDel="00000000" w:rsidP="00000000" w:rsidRDefault="00000000" w:rsidRPr="00000000" w14:paraId="00000058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*.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تنص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قواعد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إحالة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بعض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أنواع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النزاعات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جميعها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التحكيم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.*</w:t>
      </w:r>
    </w:p>
    <w:p w:rsidR="00000000" w:rsidDel="00000000" w:rsidP="00000000" w:rsidRDefault="00000000" w:rsidRPr="00000000" w14:paraId="0000005A">
      <w:pPr>
        <w:jc w:val="right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right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===================== ============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bidi w:val="1"/>
        <w:ind w:left="720" w:hanging="360"/>
        <w:rPr>
          <w:b w:val="1"/>
          <w:sz w:val="30"/>
          <w:szCs w:val="30"/>
          <w:highlight w:val="white"/>
          <w:u w:val="none"/>
        </w:rPr>
      </w:pP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تقوم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بتوفير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المناخ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الملائم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لتحقيق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سلامة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التعامل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وتنظيم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وتطوير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المراقبة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والإشراف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رأس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فلسطين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وحماية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حملة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والمستثمرين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والجمهور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الغش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والخداع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bidi w:val="1"/>
        <w:ind w:left="720" w:hanging="360"/>
        <w:rPr>
          <w:b w:val="1"/>
          <w:sz w:val="30"/>
          <w:szCs w:val="30"/>
          <w:highlight w:val="white"/>
          <w:u w:val="none"/>
        </w:rPr>
      </w:pP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سبيل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تحقيق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ذلك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تتولى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القيام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بالمهام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5F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          </w:t>
      </w:r>
    </w:p>
    <w:p w:rsidR="00000000" w:rsidDel="00000000" w:rsidP="00000000" w:rsidRDefault="00000000" w:rsidRPr="00000000" w14:paraId="00000060">
      <w:pPr>
        <w:bidi w:val="1"/>
        <w:rPr>
          <w:b w:val="1"/>
          <w:color w:val="45818e"/>
          <w:sz w:val="30"/>
          <w:szCs w:val="30"/>
          <w:highlight w:val="white"/>
        </w:rPr>
      </w:pPr>
      <w:r w:rsidDel="00000000" w:rsidR="00000000" w:rsidRPr="00000000">
        <w:rPr>
          <w:b w:val="1"/>
          <w:color w:val="45818e"/>
          <w:sz w:val="30"/>
          <w:szCs w:val="30"/>
          <w:shd w:fill="d9d2e9" w:val="clear"/>
          <w:rtl w:val="1"/>
        </w:rPr>
        <w:t xml:space="preserve">أ</w:t>
      </w:r>
      <w:r w:rsidDel="00000000" w:rsidR="00000000" w:rsidRPr="00000000">
        <w:rPr>
          <w:b w:val="1"/>
          <w:color w:val="45818e"/>
          <w:sz w:val="30"/>
          <w:szCs w:val="30"/>
          <w:shd w:fill="d9d2e9" w:val="clear"/>
          <w:rtl w:val="1"/>
        </w:rPr>
        <w:t xml:space="preserve">.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تنظيم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ومراقبة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إصدار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والتعامل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بها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1">
      <w:pPr>
        <w:bidi w:val="1"/>
        <w:rPr>
          <w:b w:val="1"/>
          <w:color w:val="45818e"/>
          <w:sz w:val="30"/>
          <w:szCs w:val="30"/>
          <w:highlight w:val="white"/>
        </w:rPr>
      </w:pPr>
      <w:r w:rsidDel="00000000" w:rsidR="00000000" w:rsidRPr="00000000">
        <w:rPr>
          <w:b w:val="1"/>
          <w:color w:val="45818e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shd w:fill="d9d2e9" w:val="clear"/>
          <w:rtl w:val="1"/>
        </w:rPr>
        <w:t xml:space="preserve">ب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تنظيم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ومراقبة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أعمال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ونشاطات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الجهات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الخاضعة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لرقابة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وإشرافها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ومن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ضمنها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والمركز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وصناديق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الاستثمار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وشركات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والشركات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المساهمة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العامة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ومعتمدو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المهن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2">
      <w:pPr>
        <w:bidi w:val="1"/>
        <w:rPr>
          <w:b w:val="1"/>
          <w:color w:val="45818e"/>
          <w:sz w:val="30"/>
          <w:szCs w:val="30"/>
          <w:highlight w:val="white"/>
        </w:rPr>
      </w:pPr>
      <w:r w:rsidDel="00000000" w:rsidR="00000000" w:rsidRPr="00000000">
        <w:rPr>
          <w:b w:val="1"/>
          <w:color w:val="45818e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shd w:fill="d9d2e9" w:val="clear"/>
          <w:rtl w:val="1"/>
        </w:rPr>
        <w:t xml:space="preserve">ج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تنظيم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ومراقبة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الإفصاح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المتعلقة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بالأوراق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والجهات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المصدرة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لها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وتعامل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الأشخاص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المطلعين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وكبار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المساهمين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والمستثمرين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فيها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3">
      <w:pPr>
        <w:bidi w:val="1"/>
        <w:rPr>
          <w:b w:val="1"/>
          <w:color w:val="45818e"/>
          <w:sz w:val="30"/>
          <w:szCs w:val="30"/>
          <w:highlight w:val="white"/>
        </w:rPr>
      </w:pPr>
      <w:r w:rsidDel="00000000" w:rsidR="00000000" w:rsidRPr="00000000">
        <w:rPr>
          <w:b w:val="1"/>
          <w:color w:val="45818e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shd w:fill="d9d2e9" w:val="clear"/>
          <w:rtl w:val="1"/>
        </w:rPr>
        <w:t xml:space="preserve">د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تنظيم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العروض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العامة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لشراء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أسهم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الشركات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المساهمة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العامة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4">
      <w:pPr>
        <w:bidi w:val="1"/>
        <w:rPr>
          <w:b w:val="1"/>
          <w:color w:val="45818e"/>
          <w:sz w:val="30"/>
          <w:szCs w:val="30"/>
          <w:highlight w:val="white"/>
        </w:rPr>
      </w:pPr>
      <w:r w:rsidDel="00000000" w:rsidR="00000000" w:rsidRPr="00000000">
        <w:rPr>
          <w:b w:val="1"/>
          <w:color w:val="45818e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shd w:fill="d9d2e9" w:val="clear"/>
          <w:rtl w:val="1"/>
        </w:rPr>
        <w:t xml:space="preserve">ه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أية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صلاحيات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نص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قانون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هيئة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سوق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رأس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المال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65">
      <w:pPr>
        <w:bidi w:val="1"/>
        <w:rPr>
          <w:b w:val="1"/>
          <w:color w:val="45818e"/>
          <w:sz w:val="30"/>
          <w:szCs w:val="30"/>
          <w:highlight w:val="white"/>
        </w:rPr>
      </w:pPr>
      <w:r w:rsidDel="00000000" w:rsidR="00000000" w:rsidRPr="00000000">
        <w:rPr>
          <w:b w:val="1"/>
          <w:color w:val="45818e"/>
          <w:sz w:val="30"/>
          <w:szCs w:val="30"/>
          <w:shd w:fill="d9d2e9" w:val="clear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تعتبر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صاحبة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الصلاحية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الكاملة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وضع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الأنظمة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والتعليمات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والقواعد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المتعلقة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بأعمال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ونشاطات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الجهات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الخاضعة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لرقابتها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وإشرافها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أجل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تحقيق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أهدافها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المنصوص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الفقرة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(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أ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)،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ولا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مخالفة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ما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تقرره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بهذا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الشأن</w:t>
      </w:r>
      <w:r w:rsidDel="00000000" w:rsidR="00000000" w:rsidRPr="00000000">
        <w:rPr>
          <w:b w:val="1"/>
          <w:color w:val="45818e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6">
      <w:pPr>
        <w:bidi w:val="1"/>
        <w:rPr>
          <w:b w:val="1"/>
          <w:color w:val="45818e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rPr>
          <w:b w:val="1"/>
          <w:color w:val="45818e"/>
          <w:sz w:val="30"/>
          <w:szCs w:val="30"/>
          <w:highlight w:val="white"/>
        </w:rPr>
      </w:pPr>
      <w:r w:rsidDel="00000000" w:rsidR="00000000" w:rsidRPr="00000000">
        <w:rPr>
          <w:b w:val="1"/>
          <w:color w:val="45818e"/>
          <w:sz w:val="30"/>
          <w:szCs w:val="30"/>
          <w:highlight w:val="white"/>
          <w:rtl w:val="0"/>
        </w:rPr>
        <w:t xml:space="preserve">====================================</w:t>
      </w:r>
    </w:p>
    <w:p w:rsidR="00000000" w:rsidDel="00000000" w:rsidP="00000000" w:rsidRDefault="00000000" w:rsidRPr="00000000" w14:paraId="00000068">
      <w:pPr>
        <w:bidi w:val="1"/>
        <w:rPr>
          <w:b w:val="1"/>
          <w:color w:val="ffffff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>
          <w:b w:val="1"/>
          <w:sz w:val="30"/>
          <w:szCs w:val="30"/>
          <w:shd w:fill="d9d2e9" w:val="clear"/>
        </w:rPr>
      </w:pP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دون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الانتقاص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صلاحيات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المنصوص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عليها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قانون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هيئة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سوق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رأس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المال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:- </w:t>
      </w:r>
    </w:p>
    <w:p w:rsidR="00000000" w:rsidDel="00000000" w:rsidP="00000000" w:rsidRDefault="00000000" w:rsidRPr="00000000" w14:paraId="0000006A">
      <w:pPr>
        <w:bidi w:val="1"/>
        <w:rPr>
          <w:b w:val="1"/>
          <w:sz w:val="30"/>
          <w:szCs w:val="30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1-.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للهيئة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إصدار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تعليمات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خطية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للسوق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لخدمة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المصلحة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العامة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فيما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يتعلق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بما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يلي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التداول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C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يتم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تداولها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D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ج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لشركات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للجمهور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6E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آلية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تطبيق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لقواعده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وتعليماته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وإجراءاته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F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مواضيع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ترى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أنها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ضرورية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لتنفيذ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0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rPr>
          <w:b w:val="1"/>
          <w:color w:val="ff0000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2.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للهيئة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النظر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القرارات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للتأكد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اتفاقها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مع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واللوائح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والتعليمات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والقرارات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بمقتضاه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اتخاذ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القرارات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المناسبة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بشأنها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2">
      <w:pPr>
        <w:bidi w:val="1"/>
        <w:rPr>
          <w:b w:val="1"/>
          <w:color w:val="ff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rPr>
          <w:b w:val="1"/>
          <w:color w:val="ff0000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3.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للإجراءات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الشروط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الواردة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اللوائح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للهيئة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الطلب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ما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يلي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74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تعليق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عضوية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شركة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5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إلغاء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ترخيص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شركة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عضوا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ج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تعليق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التداول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إذا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اتضح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بأن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أسبابا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قاهرة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تحول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دون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إمكانية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التداول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حسب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رأي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77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تعليق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شطب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تداول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ورقة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أحد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أنواع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الترخيص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8">
      <w:pPr>
        <w:bidi w:val="1"/>
        <w:rPr>
          <w:b w:val="1"/>
          <w:color w:val="ff0000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4.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يجب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أن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كل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إشعار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صادر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لتعليق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إلغاء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العضوية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تعليق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شطب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تداول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أي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ورقة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معللا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ويعمل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به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حال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إشعار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ويحق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للعضو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التظلم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قرار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للوائح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بمقتضى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9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==============================</w:t>
      </w:r>
    </w:p>
    <w:p w:rsidR="00000000" w:rsidDel="00000000" w:rsidP="00000000" w:rsidRDefault="00000000" w:rsidRPr="00000000" w14:paraId="0000007A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#.  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مديريها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مسئوليها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موظفيها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للمركز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الإفصاح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المتعلقة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بمعاملات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شـركات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وممتلكاتها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معاملات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المدرجة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وممتلكاتها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معاملات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المستثمرين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وممتلكاتهم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باستثناء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يسمح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قواعد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إلا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إذا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كانت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هذه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عامة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ولا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ينطبق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الحظر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المطلوب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توفيرها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اللوائح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بقرار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قضائي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B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يقوم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المركز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بالأعمال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التالية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1.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تسجيل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مصدري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0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2.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إيداع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مركزي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1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3.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تدقيق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المدخلة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حسابات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المستثمرين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لدى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والتأكد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صحتها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وإدخال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تفاصيل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شخصية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إضافية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سجلات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مالكي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لدى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المركز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2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4.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خدمات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المقاصة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والتسوية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وأعضائه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3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5.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الأعمال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تتعلق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بتحويل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ملكية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4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6.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عمليات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الرهن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والحجز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وفك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الرهن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وفك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الحجز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5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7.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متابعة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نسب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تملك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وتنفيذ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الحظر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المفروض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تجاوز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سقوف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الملكية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أحكام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الأنظمة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الداخلية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للشركات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المدرجة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شروط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إصدار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المعلنة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نشرات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الإصدار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6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8.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تزويد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الجهات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المصدرة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بالتغييرات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تتم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سجلات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مالكي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بشكل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دوري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7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9.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تنفيذ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تعليمات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فيما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يتعلق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بالإجراءات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الخاصة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بأسهم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أعضاء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مجلس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إدارة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المدرجة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وتنفيذ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قرارات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فيما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يتعلق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بسجل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المساهمين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توزيع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أسهمها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تجزئتها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دمجها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8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10.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للمركز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استيفاء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الرسوم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لقاء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المعاملات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لديه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حسب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التعليمات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يصدرها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بموافقة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9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11.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أعمال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تتطلبها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عمليات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لدى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المركز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A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============================</w:t>
      </w:r>
    </w:p>
    <w:p w:rsidR="00000000" w:rsidDel="00000000" w:rsidP="00000000" w:rsidRDefault="00000000" w:rsidRPr="00000000" w14:paraId="0000008C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للهيئة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صلاحية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وضع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وتنفيذ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قواعد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الرقابة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والإشراف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لضمان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حسن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الأداء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وتنظيم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عمل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المركز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وتشمل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يلي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:</w:t>
      </w:r>
    </w:p>
    <w:p w:rsidR="00000000" w:rsidDel="00000000" w:rsidP="00000000" w:rsidRDefault="00000000" w:rsidRPr="00000000" w14:paraId="0000008D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تسجيل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وتدوين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الملكية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وتحويل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ملكية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يتم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التداول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وتسوية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الأثمان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لهذه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F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والنشرات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والسجلات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السرية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هو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مرخص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بالإطلاع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ج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والنشرات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والسجلات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يجب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يفصح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المركز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90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معايير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وأخلاقيات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المهنة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للهيئة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العمل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وضع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قواعد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وإجراءات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الإشراف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والرقابة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الذين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لهم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حق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استخدام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المركز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وتشمل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هذه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القواعد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والإجراءات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يلي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:</w:t>
      </w:r>
    </w:p>
    <w:p w:rsidR="00000000" w:rsidDel="00000000" w:rsidP="00000000" w:rsidRDefault="00000000" w:rsidRPr="00000000" w14:paraId="00000093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اطلاع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المركز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نشرات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وسجلات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95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التقارير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الدورية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للمركز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نشاطات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6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ج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تحديد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انتهاكات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قواعد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المركز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وتطبيق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الجزاء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الذين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تثبت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مخالفتهم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لهذه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القواعد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تشتمل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تعليق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نشاط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هؤلاء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7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المواضيع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الأخرى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تطلبها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اللوائح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8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للهيئة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صلاحية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التحقيق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مع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المركز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وفرض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الغرامات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لمخالفة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قواعده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ويجوز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للهيئة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النظر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هذه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الغرامات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وتبقى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نافذة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لم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تنقضها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.</w:t>
      </w:r>
    </w:p>
    <w:p w:rsidR="00000000" w:rsidDel="00000000" w:rsidP="00000000" w:rsidRDefault="00000000" w:rsidRPr="00000000" w14:paraId="0000009A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================================</w:t>
      </w:r>
    </w:p>
    <w:p w:rsidR="00000000" w:rsidDel="00000000" w:rsidP="00000000" w:rsidRDefault="00000000" w:rsidRPr="00000000" w14:paraId="0000009C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#.  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التحقق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مدى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الالتزام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بشروط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ملكية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وأية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قيود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مفروضة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العقد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المصدر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حسب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النظام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الداخلي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للمصدر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وللمركز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رفض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تسجيل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تحويلات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المخالفة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D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#.  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تتطلب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قواعد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شركات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والحافظ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الأمين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وبقية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الأعضاء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تزويد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المركز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بأسماء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المالكين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المنتفعين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المودعة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حسابات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ممثلين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لهم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ويحتفظ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المركز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بهذه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الخاصة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بسرية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وله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الصلاحية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تبادل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هذه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المعلومات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ومع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المصدر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F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================================</w:t>
      </w:r>
    </w:p>
    <w:p w:rsidR="00000000" w:rsidDel="00000000" w:rsidP="00000000" w:rsidRDefault="00000000" w:rsidRPr="00000000" w14:paraId="000000A0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كيف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يتم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طرح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للاكتتاب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العام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بأي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الوسائل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التالية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؟</w:t>
      </w:r>
    </w:p>
    <w:p w:rsidR="00000000" w:rsidDel="00000000" w:rsidP="00000000" w:rsidRDefault="00000000" w:rsidRPr="00000000" w14:paraId="000000A1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الإصدار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A3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إعلان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يتضمن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ملخصا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الإصدار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معلومات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بيانات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تتطلبها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تسمح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التعليمات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تصدرها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A4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ج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مادة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مكتوبة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مرفقة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الإصدار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تسبقها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تكون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الإصدار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أصبحت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نافذة</w:t>
      </w:r>
    </w:p>
    <w:p w:rsidR="00000000" w:rsidDel="00000000" w:rsidP="00000000" w:rsidRDefault="00000000" w:rsidRPr="00000000" w14:paraId="000000A5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#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يعتبر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بيع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العرض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العام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ملزما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للمشتري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إلا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إذا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تسلم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نسخة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نشرة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الإصدار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النافذة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A8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لا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تشمل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شركة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أيا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:</w:t>
      </w:r>
    </w:p>
    <w:p w:rsidR="00000000" w:rsidDel="00000000" w:rsidP="00000000" w:rsidRDefault="00000000" w:rsidRPr="00000000" w14:paraId="000000AA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1.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الحكومة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AC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2.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شخص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يعمل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شراء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وبيع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دون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يكون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النشاط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جزءا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أعماله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التجارية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المنتظمة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الرسمية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AD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==============================</w:t>
      </w:r>
    </w:p>
    <w:p w:rsidR="00000000" w:rsidDel="00000000" w:rsidP="00000000" w:rsidRDefault="00000000" w:rsidRPr="00000000" w14:paraId="000000AF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شركات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ومستشاري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الاستثمار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الالتزام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بما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يلي</w:t>
      </w:r>
      <w:r w:rsidDel="00000000" w:rsidR="00000000" w:rsidRPr="00000000">
        <w:rPr>
          <w:b w:val="1"/>
          <w:sz w:val="30"/>
          <w:szCs w:val="30"/>
          <w:shd w:fill="b4a7d6" w:val="clear"/>
          <w:rtl w:val="1"/>
        </w:rPr>
        <w:t xml:space="preserve">:</w:t>
      </w:r>
    </w:p>
    <w:p w:rsidR="00000000" w:rsidDel="00000000" w:rsidP="00000000" w:rsidRDefault="00000000" w:rsidRPr="00000000" w14:paraId="000000B0">
      <w:pPr>
        <w:bidi w:val="1"/>
        <w:rPr>
          <w:b w:val="1"/>
          <w:sz w:val="30"/>
          <w:szCs w:val="30"/>
          <w:shd w:fill="b4a7d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.)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الامتناع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خدمات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للمستثمرين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قبل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عقد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إتفاقية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التداول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B2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).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حيازة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رأس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كاف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وتقديم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ضمان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مصرفي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لتعليمات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تصدرها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B3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ج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.)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الالتزام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بالتعليمات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تنص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فصل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التعامل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الممتلكات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الخاصة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بالشركة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وممتلكات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المستثمرين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والامتناع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استخدام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الأموال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الخاصة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بالمستثمرين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لأغراض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الشركة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الخاصة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B4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.)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إعطاء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أولوية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لتنفيذ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طلبات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المستثمرين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قبل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تنفيذ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الطلبات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لحسابها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الخاص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لحساب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موظفيها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B5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.)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يجب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الاستشارات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للمستثمرين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كل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حسب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إحتياجاته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الإستثمارية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الإستشارة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التراخيص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الممنوحة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B6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)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الامتناع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تسهيلات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للمستثمرين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أجل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شراء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وحيازة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فيما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عدا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هو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متاح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واللوائح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والتعليمات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B7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.)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الامتناع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تقديم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ضمانات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وعد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للمستثمرين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بأرباح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معينة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B8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س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 )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الامتناع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القيام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بعمليات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شراء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وبيع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متعددة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لحسابات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المستثمرين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دون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تفويض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رسمي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B9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.)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تزويد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المستثمرين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بكشف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حساب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دوري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BA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.)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الامتناع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حجب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عملياتهم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وإلحاق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أضرار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بالمستثمرين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BB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rPr>
          <w:b w:val="1"/>
          <w:sz w:val="30"/>
          <w:szCs w:val="30"/>
          <w:shd w:fill="d9d2e9" w:val="clear"/>
        </w:rPr>
      </w:pP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شركات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تقوم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بإخطار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المستثمرين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المالكين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للأوراق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بالمعلومات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ترد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أحد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المصدرين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مباشرة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خلال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وتمرير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المعلومات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الواردة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المالكين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إلى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المصدر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مباشرة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طريق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المركز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.</w:t>
      </w:r>
    </w:p>
    <w:p w:rsidR="00000000" w:rsidDel="00000000" w:rsidP="00000000" w:rsidRDefault="00000000" w:rsidRPr="00000000" w14:paraId="000000BD">
      <w:pPr>
        <w:bidi w:val="1"/>
        <w:rPr>
          <w:b w:val="1"/>
          <w:sz w:val="30"/>
          <w:szCs w:val="30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shd w:fill="d9d2e9" w:val="clear"/>
          <w:rtl w:val="0"/>
        </w:rPr>
        <w:t xml:space="preserve">#. 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جهة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تأسيس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صندوق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استثمار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إلا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إذا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كان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شخصا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اعتباريا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وبعد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الحصول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الترخيص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اللازم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والتسجيل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لدى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BF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====================================</w:t>
      </w:r>
    </w:p>
    <w:p w:rsidR="00000000" w:rsidDel="00000000" w:rsidP="00000000" w:rsidRDefault="00000000" w:rsidRPr="00000000" w14:paraId="000000C0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rPr>
          <w:b w:val="1"/>
          <w:sz w:val="30"/>
          <w:szCs w:val="30"/>
          <w:shd w:fill="d9d2e9" w:val="clear"/>
        </w:rPr>
      </w:pP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تكون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صناديق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الاستثمار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أحد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النوعين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التاليين</w:t>
      </w:r>
      <w:r w:rsidDel="00000000" w:rsidR="00000000" w:rsidRPr="00000000">
        <w:rPr>
          <w:b w:val="1"/>
          <w:sz w:val="30"/>
          <w:szCs w:val="30"/>
          <w:shd w:fill="d9d2e9" w:val="clear"/>
          <w:rtl w:val="1"/>
        </w:rPr>
        <w:t xml:space="preserve">:</w:t>
      </w:r>
    </w:p>
    <w:p w:rsidR="00000000" w:rsidDel="00000000" w:rsidP="00000000" w:rsidRDefault="00000000" w:rsidRPr="00000000" w14:paraId="000000C2">
      <w:pPr>
        <w:bidi w:val="1"/>
        <w:rPr>
          <w:b w:val="1"/>
          <w:sz w:val="30"/>
          <w:szCs w:val="30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أ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صندوق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استثمار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ذو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رأس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مال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متغير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يسمى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(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الصندوق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المفتوح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).</w:t>
      </w:r>
    </w:p>
    <w:p w:rsidR="00000000" w:rsidDel="00000000" w:rsidP="00000000" w:rsidRDefault="00000000" w:rsidRPr="00000000" w14:paraId="000000C4">
      <w:pPr>
        <w:bidi w:val="1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ب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صندوق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استثمار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ذو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رأس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مال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ثابت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يسمى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(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الصندوق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المغلق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).</w:t>
      </w:r>
    </w:p>
    <w:p w:rsidR="00000000" w:rsidDel="00000000" w:rsidP="00000000" w:rsidRDefault="00000000" w:rsidRPr="00000000" w14:paraId="000000C5">
      <w:pPr>
        <w:bidi w:val="1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0"/>
        </w:rPr>
        <w:t xml:space="preserve">==============================</w:t>
      </w:r>
    </w:p>
    <w:p w:rsidR="00000000" w:rsidDel="00000000" w:rsidP="00000000" w:rsidRDefault="00000000" w:rsidRPr="00000000" w14:paraId="000000C6">
      <w:pPr>
        <w:bidi w:val="1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للصندوق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المغلق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إصدار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وحداته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الاستثمارية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بموجب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إصدار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خاص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ويجوز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تدرج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وفق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شروط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الإدراج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8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🔹.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للصندوق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المغلق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يتحول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صندوق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مفتوح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إذا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نص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نظامه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الأساسي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ذلك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يصوب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أوضاعه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ً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لأحكام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القانون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واللوائح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والتعليمات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الصادرة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بمقتضاه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9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🔹.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تحدد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بتعليمات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إصدار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لصندوق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الاستثمار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المفتوح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لطرحها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للاكتتاب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العام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A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🔹.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للصندوق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المفتوح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إصدار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إطفاء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وحداته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الاستثمارية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إلا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ً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للسعر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المحسوب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بناء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صافي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قيمة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موجوداته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وفقا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ً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للأسس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والإجراءات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المعتمدة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B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🔹.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يجوز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للصندوق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المفتوح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التوقف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إصدار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إطفاء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وحداته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الاستثمارية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المواعيد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المحددة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نظامه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الأساسي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إلا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حالات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استثنائية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تحددها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C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🔹.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الصندوق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المفتوح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مراعاة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تكون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جميع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استثماراته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ذات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سيولة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عالية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وكافية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لتسديد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التزاماته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D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🔹.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تحدد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الهيئة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الحد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الأدنى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لنسبة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السيولة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النقدية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الواجب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الصندوق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المفتوح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المحافظة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وكيفية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احتسابها</w:t>
      </w:r>
      <w:r w:rsidDel="00000000" w:rsidR="00000000" w:rsidRPr="00000000">
        <w:rPr>
          <w:b w:val="1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E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===============================</w:t>
      </w:r>
    </w:p>
    <w:p w:rsidR="00000000" w:rsidDel="00000000" w:rsidP="00000000" w:rsidRDefault="00000000" w:rsidRPr="00000000" w14:paraId="000000CF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rPr>
          <w:b w:val="1"/>
          <w:sz w:val="30"/>
          <w:szCs w:val="30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