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CH.5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https://studylib.net/doc/5841690/chapter-5%E2%80%94basics-of-analysis?fbclid=IwAR2MECAoBCgwJsppbgs4mNzXMtab_PFmVJYD0WAzk_8en3fPGHoB-r4wX0c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CH.6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https://studylib.net/doc/25279751/chapter-6%E2%80%94liquidity-of-short-term-assets%3B-related-debt-pa?fbclid=IwAR0xRXZgDhRez3QxDDNuQ_5yVRSDCxLICYP1H5A0yeZF4MFH-ZDN5GCUQKY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CH.7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CH.8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https://www.studocu.com/row/document/university-of-sargodha/financial-statement-analysis/test-bank-chapter-8/13141830?fbclid=IwAR3E1uYP8fFwMlNwW394bYxPfPsO3D0l8E-N_PVjTXD1aqjgzSlkZGn-fHA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CH.9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https://studylib.net/doc/5845045/chapter-9%E2%80%94for-the-investor?fbclid=IwAR2sXy5lu85RfS6-x2UE-vUbYgnABxSTy3Tj02wgCQXUTaG-Xvym2fBZe7w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udylib.net/doc/5845045/chapter-9%E2%80%94for-the-investor?fbclid=IwAR2sXy5lu85RfS6-x2UE-vUbYgnABxSTy3Tj02wgCQXUTaG-Xvym2fBZe7w" TargetMode="External"/><Relationship Id="rId5" Type="http://schemas.openxmlformats.org/officeDocument/2006/relationships/styles" Target="styles.xml"/><Relationship Id="rId6" Type="http://schemas.openxmlformats.org/officeDocument/2006/relationships/hyperlink" Target="https://studylib.net/doc/5841690/chapter-5%E2%80%94basics-of-analysis?fbclid=IwAR2MECAoBCgwJsppbgs4mNzXMtab_PFmVJYD0WAzk_8en3fPGHoB-r4wX0c" TargetMode="External"/><Relationship Id="rId7" Type="http://schemas.openxmlformats.org/officeDocument/2006/relationships/hyperlink" Target="https://studylib.net/doc/25279751/chapter-6%E2%80%94liquidity-of-short-term-assets%3B-related-debt-pa?fbclid=IwAR0xRXZgDhRez3QxDDNuQ_5yVRSDCxLICYP1H5A0yeZF4MFH-ZDN5GCUQKY" TargetMode="External"/><Relationship Id="rId8" Type="http://schemas.openxmlformats.org/officeDocument/2006/relationships/hyperlink" Target="https://www.studocu.com/row/document/university-of-sargodha/financial-statement-analysis/test-bank-chapter-8/13141830?fbclid=IwAR3E1uYP8fFwMlNwW394bYxPfPsO3D0l8E-N_PVjTXD1aqjgzSlkZGn-f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