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273C6" w14:textId="77777777" w:rsidR="009B04D9" w:rsidRDefault="009B04D9" w:rsidP="009B04D9">
      <w:pPr>
        <w:autoSpaceDE w:val="0"/>
        <w:autoSpaceDN w:val="0"/>
        <w:adjustRightInd w:val="0"/>
        <w:spacing w:after="0" w:line="240" w:lineRule="auto"/>
        <w:rPr>
          <w:rFonts w:ascii="Comic Sans MS" w:hAnsi="Comic Sans MS" w:cs="StoneSans-Semibold"/>
          <w:b/>
          <w:bCs/>
          <w:color w:val="FF0000"/>
        </w:rPr>
      </w:pPr>
      <w:r>
        <w:rPr>
          <w:noProof/>
        </w:rPr>
        <w:drawing>
          <wp:inline distT="0" distB="0" distL="0" distR="0" wp14:anchorId="273B40D2" wp14:editId="27328850">
            <wp:extent cx="5276850" cy="1790700"/>
            <wp:effectExtent l="0" t="0" r="0" b="0"/>
            <wp:docPr id="1" name="Picture 1" descr="ملف:Birzeit University logo.svg -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ملف:Birzeit University logo.svg - ويكيبيديا"/>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1790700"/>
                    </a:xfrm>
                    <a:prstGeom prst="rect">
                      <a:avLst/>
                    </a:prstGeom>
                    <a:noFill/>
                    <a:ln>
                      <a:noFill/>
                    </a:ln>
                  </pic:spPr>
                </pic:pic>
              </a:graphicData>
            </a:graphic>
          </wp:inline>
        </w:drawing>
      </w:r>
    </w:p>
    <w:p w14:paraId="05A06D71" w14:textId="77777777" w:rsidR="009B04D9" w:rsidRDefault="009B04D9" w:rsidP="009B04D9">
      <w:pPr>
        <w:autoSpaceDE w:val="0"/>
        <w:autoSpaceDN w:val="0"/>
        <w:adjustRightInd w:val="0"/>
        <w:spacing w:after="0" w:line="240" w:lineRule="auto"/>
        <w:rPr>
          <w:rFonts w:ascii="Comic Sans MS" w:hAnsi="Comic Sans MS" w:cs="StoneSans-Semibold"/>
          <w:b/>
          <w:bCs/>
          <w:color w:val="FF0000"/>
        </w:rPr>
      </w:pPr>
    </w:p>
    <w:p w14:paraId="76933AED" w14:textId="77777777" w:rsidR="009B04D9" w:rsidRDefault="009B04D9" w:rsidP="009B04D9">
      <w:pPr>
        <w:autoSpaceDE w:val="0"/>
        <w:autoSpaceDN w:val="0"/>
        <w:adjustRightInd w:val="0"/>
        <w:spacing w:after="0" w:line="240" w:lineRule="auto"/>
        <w:jc w:val="center"/>
        <w:rPr>
          <w:rFonts w:ascii="Comic Sans MS" w:hAnsi="Comic Sans MS" w:cs="StoneSans-Semibold"/>
          <w:b/>
          <w:bCs/>
          <w:color w:val="FF0000"/>
        </w:rPr>
      </w:pPr>
    </w:p>
    <w:p w14:paraId="09487CC1" w14:textId="77777777" w:rsidR="009B04D9" w:rsidRDefault="009B04D9" w:rsidP="009B04D9">
      <w:pPr>
        <w:autoSpaceDE w:val="0"/>
        <w:autoSpaceDN w:val="0"/>
        <w:adjustRightInd w:val="0"/>
        <w:spacing w:after="0" w:line="240" w:lineRule="auto"/>
        <w:jc w:val="center"/>
        <w:rPr>
          <w:rFonts w:asciiTheme="majorBidi" w:hAnsiTheme="majorBidi" w:cstheme="majorBidi"/>
          <w:b/>
          <w:bCs/>
          <w:color w:val="000000" w:themeColor="text1"/>
          <w:sz w:val="40"/>
          <w:szCs w:val="40"/>
        </w:rPr>
      </w:pPr>
    </w:p>
    <w:p w14:paraId="3CE6A5E5" w14:textId="77777777" w:rsidR="009B04D9" w:rsidRDefault="009B04D9" w:rsidP="009B04D9">
      <w:pPr>
        <w:autoSpaceDE w:val="0"/>
        <w:autoSpaceDN w:val="0"/>
        <w:adjustRightInd w:val="0"/>
        <w:spacing w:after="0" w:line="240" w:lineRule="auto"/>
        <w:jc w:val="center"/>
        <w:rPr>
          <w:rFonts w:asciiTheme="majorBidi" w:hAnsiTheme="majorBidi" w:cstheme="majorBidi"/>
          <w:b/>
          <w:bCs/>
          <w:color w:val="000000" w:themeColor="text1"/>
          <w:sz w:val="40"/>
          <w:szCs w:val="40"/>
        </w:rPr>
      </w:pPr>
    </w:p>
    <w:p w14:paraId="77771B5A" w14:textId="77777777" w:rsidR="009B04D9" w:rsidRDefault="009B04D9" w:rsidP="009B04D9">
      <w:pPr>
        <w:autoSpaceDE w:val="0"/>
        <w:autoSpaceDN w:val="0"/>
        <w:adjustRightInd w:val="0"/>
        <w:spacing w:after="0" w:line="240" w:lineRule="auto"/>
        <w:jc w:val="center"/>
        <w:rPr>
          <w:rFonts w:asciiTheme="majorBidi" w:hAnsiTheme="majorBidi" w:cstheme="majorBidi"/>
          <w:b/>
          <w:bCs/>
          <w:color w:val="000000" w:themeColor="text1"/>
          <w:sz w:val="40"/>
          <w:szCs w:val="40"/>
        </w:rPr>
      </w:pPr>
      <w:r>
        <w:rPr>
          <w:rFonts w:asciiTheme="majorBidi" w:hAnsiTheme="majorBidi" w:cstheme="majorBidi"/>
          <w:b/>
          <w:bCs/>
          <w:color w:val="000000" w:themeColor="text1"/>
          <w:sz w:val="40"/>
          <w:szCs w:val="40"/>
        </w:rPr>
        <w:t>Subject:</w:t>
      </w:r>
    </w:p>
    <w:p w14:paraId="2F6151BE" w14:textId="77777777" w:rsidR="009B04D9" w:rsidRDefault="009B04D9" w:rsidP="009B04D9">
      <w:pPr>
        <w:autoSpaceDE w:val="0"/>
        <w:autoSpaceDN w:val="0"/>
        <w:adjustRightInd w:val="0"/>
        <w:spacing w:after="0" w:line="240" w:lineRule="auto"/>
        <w:jc w:val="center"/>
        <w:rPr>
          <w:rFonts w:asciiTheme="majorBidi" w:hAnsiTheme="majorBidi" w:cstheme="majorBidi"/>
          <w:color w:val="000000" w:themeColor="text1"/>
          <w:sz w:val="40"/>
          <w:szCs w:val="40"/>
          <w:lang w:bidi="ar-JO"/>
        </w:rPr>
      </w:pPr>
      <w:r>
        <w:rPr>
          <w:rFonts w:asciiTheme="majorBidi" w:hAnsiTheme="majorBidi" w:cstheme="majorBidi"/>
          <w:color w:val="000000" w:themeColor="text1"/>
          <w:sz w:val="40"/>
          <w:szCs w:val="40"/>
          <w:lang w:bidi="ar-JO"/>
        </w:rPr>
        <w:t>Nephrology Rotation</w:t>
      </w:r>
    </w:p>
    <w:p w14:paraId="4389BE37" w14:textId="77777777" w:rsidR="009B04D9" w:rsidRDefault="009B04D9" w:rsidP="009B04D9">
      <w:pPr>
        <w:autoSpaceDE w:val="0"/>
        <w:autoSpaceDN w:val="0"/>
        <w:adjustRightInd w:val="0"/>
        <w:spacing w:after="0" w:line="240" w:lineRule="auto"/>
        <w:jc w:val="center"/>
        <w:rPr>
          <w:rFonts w:asciiTheme="majorBidi" w:hAnsiTheme="majorBidi" w:cstheme="majorBidi"/>
          <w:b/>
          <w:bCs/>
          <w:color w:val="000000" w:themeColor="text1"/>
          <w:sz w:val="40"/>
          <w:szCs w:val="40"/>
        </w:rPr>
      </w:pPr>
    </w:p>
    <w:p w14:paraId="165315CE" w14:textId="77777777" w:rsidR="009B04D9" w:rsidRDefault="009B04D9" w:rsidP="009B04D9">
      <w:pPr>
        <w:autoSpaceDE w:val="0"/>
        <w:autoSpaceDN w:val="0"/>
        <w:adjustRightInd w:val="0"/>
        <w:spacing w:after="0" w:line="240" w:lineRule="auto"/>
        <w:jc w:val="center"/>
        <w:rPr>
          <w:rFonts w:asciiTheme="majorBidi" w:hAnsiTheme="majorBidi" w:cstheme="majorBidi"/>
          <w:b/>
          <w:bCs/>
          <w:color w:val="000000" w:themeColor="text1"/>
          <w:sz w:val="40"/>
          <w:szCs w:val="40"/>
        </w:rPr>
      </w:pPr>
    </w:p>
    <w:p w14:paraId="0C7840CD" w14:textId="77777777" w:rsidR="009B04D9" w:rsidRDefault="009B04D9" w:rsidP="009B04D9">
      <w:pPr>
        <w:autoSpaceDE w:val="0"/>
        <w:autoSpaceDN w:val="0"/>
        <w:adjustRightInd w:val="0"/>
        <w:spacing w:after="0" w:line="240" w:lineRule="auto"/>
        <w:jc w:val="center"/>
        <w:rPr>
          <w:rFonts w:asciiTheme="majorBidi" w:hAnsiTheme="majorBidi" w:cstheme="majorBidi"/>
          <w:b/>
          <w:bCs/>
          <w:color w:val="000000" w:themeColor="text1"/>
          <w:sz w:val="40"/>
          <w:szCs w:val="40"/>
          <w:lang w:bidi="ar-JO"/>
        </w:rPr>
      </w:pPr>
      <w:r>
        <w:rPr>
          <w:rFonts w:asciiTheme="majorBidi" w:hAnsiTheme="majorBidi" w:cstheme="majorBidi"/>
          <w:b/>
          <w:bCs/>
          <w:color w:val="000000" w:themeColor="text1"/>
          <w:sz w:val="40"/>
          <w:szCs w:val="40"/>
          <w:lang w:bidi="ar-JO"/>
        </w:rPr>
        <w:t>Homework:</w:t>
      </w:r>
    </w:p>
    <w:p w14:paraId="7C5ABE74" w14:textId="1E7DB84E" w:rsidR="009B04D9" w:rsidRDefault="009B04D9" w:rsidP="009B04D9">
      <w:pPr>
        <w:autoSpaceDE w:val="0"/>
        <w:autoSpaceDN w:val="0"/>
        <w:adjustRightInd w:val="0"/>
        <w:spacing w:after="0" w:line="240" w:lineRule="auto"/>
        <w:jc w:val="center"/>
        <w:rPr>
          <w:rFonts w:asciiTheme="majorBidi" w:hAnsiTheme="majorBidi" w:cstheme="majorBidi"/>
          <w:color w:val="000000" w:themeColor="text1"/>
          <w:sz w:val="40"/>
          <w:szCs w:val="40"/>
          <w:lang w:bidi="ar-JO"/>
        </w:rPr>
      </w:pPr>
      <w:r>
        <w:rPr>
          <w:rFonts w:asciiTheme="majorBidi" w:hAnsiTheme="majorBidi" w:cstheme="majorBidi"/>
          <w:color w:val="000000" w:themeColor="text1"/>
          <w:sz w:val="40"/>
          <w:szCs w:val="40"/>
          <w:lang w:bidi="ar-JO"/>
        </w:rPr>
        <w:t xml:space="preserve">Erythropoietin stimulating agents resistance &amp; mechanism of ACE inhibitors and ARBs in resiatance </w:t>
      </w:r>
    </w:p>
    <w:p w14:paraId="40495B02" w14:textId="77777777" w:rsidR="009B04D9" w:rsidRDefault="009B04D9" w:rsidP="009B04D9">
      <w:pPr>
        <w:autoSpaceDE w:val="0"/>
        <w:autoSpaceDN w:val="0"/>
        <w:adjustRightInd w:val="0"/>
        <w:spacing w:after="0" w:line="240" w:lineRule="auto"/>
        <w:jc w:val="center"/>
        <w:rPr>
          <w:rFonts w:asciiTheme="majorBidi" w:hAnsiTheme="majorBidi" w:cstheme="majorBidi"/>
          <w:color w:val="000000" w:themeColor="text1"/>
          <w:sz w:val="40"/>
          <w:szCs w:val="40"/>
          <w:lang w:bidi="ar-JO"/>
        </w:rPr>
      </w:pPr>
    </w:p>
    <w:p w14:paraId="593520BC" w14:textId="77777777" w:rsidR="009B04D9" w:rsidRDefault="009B04D9" w:rsidP="009B04D9">
      <w:pPr>
        <w:autoSpaceDE w:val="0"/>
        <w:autoSpaceDN w:val="0"/>
        <w:adjustRightInd w:val="0"/>
        <w:spacing w:after="0" w:line="240" w:lineRule="auto"/>
        <w:jc w:val="center"/>
        <w:rPr>
          <w:rFonts w:asciiTheme="majorBidi" w:hAnsiTheme="majorBidi" w:cstheme="majorBidi"/>
          <w:color w:val="000000" w:themeColor="text1"/>
          <w:sz w:val="40"/>
          <w:szCs w:val="40"/>
          <w:lang w:bidi="ar-JO"/>
        </w:rPr>
      </w:pPr>
    </w:p>
    <w:p w14:paraId="6635B14C" w14:textId="77777777" w:rsidR="009B04D9" w:rsidRDefault="009B04D9" w:rsidP="009B04D9">
      <w:pPr>
        <w:autoSpaceDE w:val="0"/>
        <w:autoSpaceDN w:val="0"/>
        <w:adjustRightInd w:val="0"/>
        <w:spacing w:after="0" w:line="240" w:lineRule="auto"/>
        <w:jc w:val="center"/>
        <w:rPr>
          <w:rFonts w:asciiTheme="majorBidi" w:hAnsiTheme="majorBidi" w:cstheme="majorBidi"/>
          <w:color w:val="000000" w:themeColor="text1"/>
          <w:sz w:val="40"/>
          <w:szCs w:val="40"/>
          <w:lang w:bidi="ar-JO"/>
        </w:rPr>
      </w:pPr>
      <w:r>
        <w:rPr>
          <w:rFonts w:asciiTheme="majorBidi" w:hAnsiTheme="majorBidi" w:cstheme="majorBidi"/>
          <w:b/>
          <w:bCs/>
          <w:color w:val="000000" w:themeColor="text1"/>
          <w:sz w:val="40"/>
          <w:szCs w:val="40"/>
          <w:lang w:bidi="ar-JO"/>
        </w:rPr>
        <w:t>Instructor:</w:t>
      </w:r>
      <w:r>
        <w:rPr>
          <w:rFonts w:asciiTheme="majorBidi" w:hAnsiTheme="majorBidi" w:cstheme="majorBidi"/>
          <w:color w:val="000000" w:themeColor="text1"/>
          <w:sz w:val="40"/>
          <w:szCs w:val="40"/>
          <w:lang w:bidi="ar-JO"/>
        </w:rPr>
        <w:t xml:space="preserve"> </w:t>
      </w:r>
    </w:p>
    <w:p w14:paraId="34DFAB1E" w14:textId="77777777" w:rsidR="009B04D9" w:rsidRDefault="009B04D9" w:rsidP="009B04D9">
      <w:pPr>
        <w:autoSpaceDE w:val="0"/>
        <w:autoSpaceDN w:val="0"/>
        <w:adjustRightInd w:val="0"/>
        <w:spacing w:after="0" w:line="240" w:lineRule="auto"/>
        <w:jc w:val="center"/>
        <w:rPr>
          <w:rFonts w:asciiTheme="majorBidi" w:hAnsiTheme="majorBidi" w:cstheme="majorBidi"/>
          <w:color w:val="000000" w:themeColor="text1"/>
          <w:sz w:val="40"/>
          <w:szCs w:val="40"/>
          <w:lang w:bidi="ar-JO"/>
        </w:rPr>
      </w:pPr>
      <w:r>
        <w:rPr>
          <w:rFonts w:asciiTheme="majorBidi" w:hAnsiTheme="majorBidi" w:cstheme="majorBidi"/>
          <w:color w:val="000000" w:themeColor="text1"/>
          <w:sz w:val="40"/>
          <w:szCs w:val="40"/>
          <w:lang w:bidi="ar-JO"/>
        </w:rPr>
        <w:t xml:space="preserve">Dr. Sona Ladadweh </w:t>
      </w:r>
    </w:p>
    <w:p w14:paraId="03B47711" w14:textId="77777777" w:rsidR="009B04D9" w:rsidRDefault="009B04D9" w:rsidP="009B04D9">
      <w:pPr>
        <w:autoSpaceDE w:val="0"/>
        <w:autoSpaceDN w:val="0"/>
        <w:adjustRightInd w:val="0"/>
        <w:spacing w:after="0" w:line="240" w:lineRule="auto"/>
        <w:jc w:val="center"/>
        <w:rPr>
          <w:rFonts w:asciiTheme="majorBidi" w:hAnsiTheme="majorBidi" w:cstheme="majorBidi"/>
          <w:color w:val="000000" w:themeColor="text1"/>
          <w:sz w:val="40"/>
          <w:szCs w:val="40"/>
          <w:lang w:bidi="ar-JO"/>
        </w:rPr>
      </w:pPr>
    </w:p>
    <w:p w14:paraId="3D48807F" w14:textId="77777777" w:rsidR="009B04D9" w:rsidRDefault="009B04D9" w:rsidP="009B04D9">
      <w:pPr>
        <w:autoSpaceDE w:val="0"/>
        <w:autoSpaceDN w:val="0"/>
        <w:adjustRightInd w:val="0"/>
        <w:spacing w:after="0" w:line="240" w:lineRule="auto"/>
        <w:jc w:val="center"/>
        <w:rPr>
          <w:rFonts w:asciiTheme="majorBidi" w:hAnsiTheme="majorBidi" w:cstheme="majorBidi"/>
          <w:color w:val="000000" w:themeColor="text1"/>
          <w:sz w:val="40"/>
          <w:szCs w:val="40"/>
          <w:lang w:bidi="ar-JO"/>
        </w:rPr>
      </w:pPr>
    </w:p>
    <w:p w14:paraId="21766041" w14:textId="77777777" w:rsidR="009B04D9" w:rsidRDefault="009B04D9" w:rsidP="009B04D9">
      <w:pPr>
        <w:autoSpaceDE w:val="0"/>
        <w:autoSpaceDN w:val="0"/>
        <w:adjustRightInd w:val="0"/>
        <w:spacing w:after="0" w:line="240" w:lineRule="auto"/>
        <w:jc w:val="center"/>
        <w:rPr>
          <w:rFonts w:asciiTheme="majorBidi" w:hAnsiTheme="majorBidi" w:cstheme="majorBidi"/>
          <w:color w:val="000000" w:themeColor="text1"/>
          <w:sz w:val="40"/>
          <w:szCs w:val="40"/>
          <w:lang w:bidi="ar-JO"/>
        </w:rPr>
      </w:pPr>
      <w:r>
        <w:rPr>
          <w:rFonts w:asciiTheme="majorBidi" w:hAnsiTheme="majorBidi" w:cstheme="majorBidi"/>
          <w:b/>
          <w:bCs/>
          <w:color w:val="000000" w:themeColor="text1"/>
          <w:sz w:val="40"/>
          <w:szCs w:val="40"/>
          <w:lang w:bidi="ar-JO"/>
        </w:rPr>
        <w:t>Name:</w:t>
      </w:r>
      <w:r>
        <w:rPr>
          <w:rFonts w:asciiTheme="majorBidi" w:hAnsiTheme="majorBidi" w:cstheme="majorBidi"/>
          <w:color w:val="000000" w:themeColor="text1"/>
          <w:sz w:val="40"/>
          <w:szCs w:val="40"/>
          <w:lang w:bidi="ar-JO"/>
        </w:rPr>
        <w:t xml:space="preserve"> </w:t>
      </w:r>
    </w:p>
    <w:p w14:paraId="55576877" w14:textId="77777777" w:rsidR="009B04D9" w:rsidRDefault="009B04D9" w:rsidP="009B04D9">
      <w:pPr>
        <w:autoSpaceDE w:val="0"/>
        <w:autoSpaceDN w:val="0"/>
        <w:adjustRightInd w:val="0"/>
        <w:spacing w:after="0" w:line="240" w:lineRule="auto"/>
        <w:jc w:val="center"/>
        <w:rPr>
          <w:rFonts w:asciiTheme="majorBidi" w:hAnsiTheme="majorBidi" w:cstheme="majorBidi"/>
          <w:color w:val="000000" w:themeColor="text1"/>
          <w:sz w:val="40"/>
          <w:szCs w:val="40"/>
          <w:lang w:bidi="ar-JO"/>
        </w:rPr>
      </w:pPr>
      <w:r>
        <w:rPr>
          <w:rFonts w:asciiTheme="majorBidi" w:hAnsiTheme="majorBidi" w:cstheme="majorBidi"/>
          <w:color w:val="000000" w:themeColor="text1"/>
          <w:sz w:val="40"/>
          <w:szCs w:val="40"/>
          <w:lang w:bidi="ar-JO"/>
        </w:rPr>
        <w:t xml:space="preserve">Noor Ayman Kamel Aburub </w:t>
      </w:r>
    </w:p>
    <w:p w14:paraId="154F88AE" w14:textId="77777777" w:rsidR="009B04D9" w:rsidRDefault="009B04D9" w:rsidP="009B04D9">
      <w:pPr>
        <w:autoSpaceDE w:val="0"/>
        <w:autoSpaceDN w:val="0"/>
        <w:adjustRightInd w:val="0"/>
        <w:spacing w:after="0" w:line="240" w:lineRule="auto"/>
        <w:jc w:val="center"/>
        <w:rPr>
          <w:rFonts w:asciiTheme="majorBidi" w:hAnsiTheme="majorBidi" w:cstheme="majorBidi"/>
          <w:color w:val="000000" w:themeColor="text1"/>
          <w:sz w:val="40"/>
          <w:szCs w:val="40"/>
          <w:lang w:bidi="ar-JO"/>
        </w:rPr>
      </w:pPr>
      <w:r>
        <w:rPr>
          <w:rFonts w:asciiTheme="majorBidi" w:hAnsiTheme="majorBidi" w:cstheme="majorBidi"/>
          <w:b/>
          <w:bCs/>
          <w:color w:val="000000" w:themeColor="text1"/>
          <w:sz w:val="40"/>
          <w:szCs w:val="40"/>
          <w:lang w:bidi="ar-JO"/>
        </w:rPr>
        <w:t>ID:</w:t>
      </w:r>
      <w:r>
        <w:rPr>
          <w:rFonts w:asciiTheme="majorBidi" w:hAnsiTheme="majorBidi" w:cstheme="majorBidi"/>
          <w:color w:val="000000" w:themeColor="text1"/>
          <w:sz w:val="40"/>
          <w:szCs w:val="40"/>
          <w:lang w:bidi="ar-JO"/>
        </w:rPr>
        <w:t xml:space="preserve"> 1151170</w:t>
      </w:r>
    </w:p>
    <w:p w14:paraId="5ABDFB62" w14:textId="77777777" w:rsidR="009B04D9" w:rsidRPr="009B04D9" w:rsidRDefault="009B04D9" w:rsidP="00983AC7">
      <w:pPr>
        <w:rPr>
          <w:sz w:val="24"/>
          <w:szCs w:val="24"/>
        </w:rPr>
      </w:pPr>
    </w:p>
    <w:p w14:paraId="5174B2A5" w14:textId="77777777" w:rsidR="009B04D9" w:rsidRDefault="009B04D9" w:rsidP="00983AC7">
      <w:pPr>
        <w:rPr>
          <w:b/>
          <w:bCs/>
          <w:sz w:val="24"/>
          <w:szCs w:val="24"/>
        </w:rPr>
      </w:pPr>
    </w:p>
    <w:p w14:paraId="3F15624E" w14:textId="4A290498" w:rsidR="00925A90" w:rsidRPr="00B04122" w:rsidRDefault="00AB4614" w:rsidP="00B04122">
      <w:pPr>
        <w:rPr>
          <w:b/>
          <w:bCs/>
          <w:sz w:val="24"/>
          <w:szCs w:val="24"/>
        </w:rPr>
      </w:pPr>
      <w:r w:rsidRPr="00983AC7">
        <w:rPr>
          <w:b/>
          <w:bCs/>
          <w:sz w:val="24"/>
          <w:szCs w:val="24"/>
        </w:rPr>
        <w:lastRenderedPageBreak/>
        <w:t>Erythropoietin-stimulating agents resistance</w:t>
      </w:r>
      <w:r w:rsidR="00737D17">
        <w:rPr>
          <w:b/>
          <w:bCs/>
          <w:sz w:val="24"/>
          <w:szCs w:val="24"/>
        </w:rPr>
        <w:t xml:space="preserve"> -according to Medscape-: </w:t>
      </w:r>
      <w:r w:rsidR="00983AC7">
        <w:t>I</w:t>
      </w:r>
      <w:r>
        <w:t xml:space="preserve">t </w:t>
      </w:r>
      <w:r w:rsidRPr="00AB4614">
        <w:t xml:space="preserve">is the </w:t>
      </w:r>
      <w:r>
        <w:t>need</w:t>
      </w:r>
      <w:r w:rsidRPr="00AB4614">
        <w:t xml:space="preserve"> for </w:t>
      </w:r>
      <w:r>
        <w:t>&gt;</w:t>
      </w:r>
      <w:r w:rsidRPr="00AB4614">
        <w:t xml:space="preserve"> 150 units/kg of ESA at least 3 times per week or the sudden response refractoriness to a previous stable maintenance dose, such </w:t>
      </w:r>
      <w:r w:rsidR="007D1208">
        <w:t xml:space="preserve">as falling of hemoglobin levels below the target. </w:t>
      </w:r>
    </w:p>
    <w:p w14:paraId="084FB07F" w14:textId="3D524F8E" w:rsidR="00925A90" w:rsidRPr="00983AC7" w:rsidRDefault="00925A90">
      <w:pPr>
        <w:rPr>
          <w:b/>
          <w:bCs/>
          <w:sz w:val="24"/>
          <w:szCs w:val="24"/>
        </w:rPr>
      </w:pPr>
      <w:r w:rsidRPr="00983AC7">
        <w:rPr>
          <w:b/>
          <w:bCs/>
          <w:sz w:val="24"/>
          <w:szCs w:val="24"/>
        </w:rPr>
        <w:t xml:space="preserve">Causes of ESA’s resistance: </w:t>
      </w:r>
    </w:p>
    <w:p w14:paraId="19C2CEE2" w14:textId="5E17ACE4" w:rsidR="00925A90" w:rsidRDefault="00925A90" w:rsidP="00925A90">
      <w:pPr>
        <w:pStyle w:val="ListParagraph"/>
        <w:numPr>
          <w:ilvl w:val="0"/>
          <w:numId w:val="1"/>
        </w:numPr>
      </w:pPr>
      <w:r>
        <w:t xml:space="preserve">Iron deficiency: the most common cause, so its important to check iron stores before starting ESA therapy. </w:t>
      </w:r>
    </w:p>
    <w:p w14:paraId="4D509AE4" w14:textId="1C77DE2C" w:rsidR="00925A90" w:rsidRDefault="00925A90" w:rsidP="00925A90">
      <w:pPr>
        <w:pStyle w:val="ListParagraph"/>
        <w:numPr>
          <w:ilvl w:val="0"/>
          <w:numId w:val="1"/>
        </w:numPr>
      </w:pPr>
      <w:r>
        <w:t>C</w:t>
      </w:r>
      <w:r w:rsidRPr="00925A90">
        <w:t>hronic infection/inflammatory state</w:t>
      </w:r>
      <w:r w:rsidR="00796C61">
        <w:t>: mainly due to inflammatory cytokines</w:t>
      </w:r>
      <w:r w:rsidRPr="00925A90">
        <w:t xml:space="preserve"> (eg, IL-1)</w:t>
      </w:r>
      <w:r w:rsidR="00796C61">
        <w:t>.</w:t>
      </w:r>
    </w:p>
    <w:p w14:paraId="3D9301DF" w14:textId="5DE3CBBE" w:rsidR="00796C61" w:rsidRDefault="003A29C9" w:rsidP="00925A90">
      <w:pPr>
        <w:pStyle w:val="ListParagraph"/>
        <w:numPr>
          <w:ilvl w:val="0"/>
          <w:numId w:val="1"/>
        </w:numPr>
      </w:pPr>
      <w:r>
        <w:t>H</w:t>
      </w:r>
      <w:r w:rsidRPr="003A29C9">
        <w:t>yperparathyroidism</w:t>
      </w:r>
      <w:r>
        <w:t>.</w:t>
      </w:r>
    </w:p>
    <w:p w14:paraId="070C2B6B" w14:textId="19A9DBE1" w:rsidR="003A29C9" w:rsidRDefault="003A29C9" w:rsidP="00925A90">
      <w:pPr>
        <w:pStyle w:val="ListParagraph"/>
        <w:numPr>
          <w:ilvl w:val="0"/>
          <w:numId w:val="1"/>
        </w:numPr>
      </w:pPr>
      <w:r>
        <w:t xml:space="preserve">Severe malnutrition. </w:t>
      </w:r>
    </w:p>
    <w:p w14:paraId="246505D4" w14:textId="18D08005" w:rsidR="003A29C9" w:rsidRDefault="003A29C9" w:rsidP="00925A90">
      <w:pPr>
        <w:pStyle w:val="ListParagraph"/>
        <w:numPr>
          <w:ilvl w:val="0"/>
          <w:numId w:val="1"/>
        </w:numPr>
      </w:pPr>
      <w:r>
        <w:t>Cancer and chemotherapy.</w:t>
      </w:r>
    </w:p>
    <w:p w14:paraId="11CBF565" w14:textId="6B5EE514" w:rsidR="003A29C9" w:rsidRDefault="003A29C9" w:rsidP="00925A90">
      <w:pPr>
        <w:pStyle w:val="ListParagraph"/>
        <w:numPr>
          <w:ilvl w:val="0"/>
          <w:numId w:val="1"/>
        </w:numPr>
      </w:pPr>
      <w:r>
        <w:t xml:space="preserve">Bleeding. </w:t>
      </w:r>
    </w:p>
    <w:p w14:paraId="734DECC4" w14:textId="58104C53" w:rsidR="003A29C9" w:rsidRDefault="003A29C9" w:rsidP="00925A90">
      <w:pPr>
        <w:pStyle w:val="ListParagraph"/>
        <w:numPr>
          <w:ilvl w:val="0"/>
          <w:numId w:val="1"/>
        </w:numPr>
      </w:pPr>
      <w:r>
        <w:t xml:space="preserve">ACE inhibitors and ARBs. </w:t>
      </w:r>
    </w:p>
    <w:p w14:paraId="044CE579" w14:textId="19989D0C" w:rsidR="00CC33D3" w:rsidRDefault="00CC33D3" w:rsidP="00CC33D3"/>
    <w:p w14:paraId="0ECD92A7" w14:textId="3BB4E4F5" w:rsidR="00CC33D3" w:rsidRPr="00983AC7" w:rsidRDefault="00CC33D3" w:rsidP="00CC33D3">
      <w:pPr>
        <w:rPr>
          <w:b/>
          <w:bCs/>
          <w:sz w:val="24"/>
          <w:szCs w:val="24"/>
        </w:rPr>
      </w:pPr>
      <w:r w:rsidRPr="00983AC7">
        <w:rPr>
          <w:b/>
          <w:bCs/>
          <w:sz w:val="24"/>
          <w:szCs w:val="24"/>
        </w:rPr>
        <w:t xml:space="preserve">Mechanism of ESA’s resistance by ACE inhibitors and ARBs: </w:t>
      </w:r>
    </w:p>
    <w:p w14:paraId="25C06B97" w14:textId="011FA03A" w:rsidR="00CC33D3" w:rsidRDefault="00CC33D3" w:rsidP="00CC33D3">
      <w:r>
        <w:t xml:space="preserve">There is no clear mechanism of resistance by ACEI and ARBs, however there are many postulated hypotheses that may be responsible to ESA’s resistance. </w:t>
      </w:r>
    </w:p>
    <w:p w14:paraId="35527137" w14:textId="4CBD9FE8" w:rsidR="00CC33D3" w:rsidRDefault="00CC33D3" w:rsidP="00CC33D3">
      <w:pPr>
        <w:pStyle w:val="ListParagraph"/>
        <w:numPr>
          <w:ilvl w:val="0"/>
          <w:numId w:val="2"/>
        </w:numPr>
      </w:pPr>
      <w:r>
        <w:t xml:space="preserve">Renin-angiotensin system (RAAS) is linked with the synthesis of endogenous erythropoietin in peritubular fibroblasts of the kidney, so when RAAS is activated, erythropoietin production will be enhanced. Thus, using ACEI or ARBs will inhibit RAAS and suppress erythropoiesis process. However, this reduction in </w:t>
      </w:r>
      <w:r w:rsidR="00A130C6">
        <w:t>erythropoietin can be corrected easily with giving exogenous erythropoietin. Yet, hemoglobin levels can fall more significantly in patients with ACEI and ARBs</w:t>
      </w:r>
      <w:r w:rsidR="00706D19">
        <w:t xml:space="preserve">, which means that there are other mechanisms by ACEI and ARBs. </w:t>
      </w:r>
      <w:r w:rsidR="00A130C6">
        <w:t xml:space="preserve"> </w:t>
      </w:r>
    </w:p>
    <w:p w14:paraId="21AC6E29" w14:textId="77777777" w:rsidR="00983AC7" w:rsidRDefault="00983AC7" w:rsidP="00983AC7">
      <w:pPr>
        <w:pStyle w:val="ListParagraph"/>
      </w:pPr>
    </w:p>
    <w:p w14:paraId="0EDDAA31" w14:textId="2064B919" w:rsidR="00983AC7" w:rsidRDefault="00706D19" w:rsidP="00983AC7">
      <w:pPr>
        <w:pStyle w:val="ListParagraph"/>
        <w:numPr>
          <w:ilvl w:val="0"/>
          <w:numId w:val="2"/>
        </w:numPr>
      </w:pPr>
      <w:r>
        <w:t xml:space="preserve">In </w:t>
      </w:r>
      <w:r w:rsidRPr="00C30869">
        <w:rPr>
          <w:i/>
          <w:iCs/>
        </w:rPr>
        <w:t>vitro</w:t>
      </w:r>
      <w:r>
        <w:t xml:space="preserve">, angiotensin II can activate erythroid progenitor cell growth, when we give ACEI or ARBs the action of angiotensin II is inhibited. </w:t>
      </w:r>
      <w:r w:rsidR="00983AC7">
        <w:br/>
      </w:r>
    </w:p>
    <w:p w14:paraId="7955EEF7" w14:textId="77C490BD" w:rsidR="00A130C6" w:rsidRDefault="00706D19" w:rsidP="00CC33D3">
      <w:pPr>
        <w:pStyle w:val="ListParagraph"/>
        <w:numPr>
          <w:ilvl w:val="0"/>
          <w:numId w:val="2"/>
        </w:numPr>
      </w:pPr>
      <w:r w:rsidRPr="00706D19">
        <w:t>N-acetyl-seryl-aspartyl-lysyl-proline</w:t>
      </w:r>
      <w:r>
        <w:t xml:space="preserve"> (Ac-SDKP) is a natural stem cell re</w:t>
      </w:r>
      <w:r w:rsidR="00C30869">
        <w:t>g</w:t>
      </w:r>
      <w:r>
        <w:t>ulator</w:t>
      </w:r>
      <w:r w:rsidR="00C30869">
        <w:t xml:space="preserve"> that inhibits the recruitment of </w:t>
      </w:r>
      <w:r w:rsidR="00C30869" w:rsidRPr="00C30869">
        <w:t>haemopoietic stem cells and normal early progenitors into the S-phase.</w:t>
      </w:r>
      <w:r w:rsidR="00C30869">
        <w:t xml:space="preserve"> It was found that ACE inhibitors increase the concentration of this regulator and so inhibits erythroid growth. </w:t>
      </w:r>
      <w:r w:rsidR="00983AC7">
        <w:br/>
      </w:r>
    </w:p>
    <w:p w14:paraId="207DD03E" w14:textId="5540705F" w:rsidR="00BB3DFC" w:rsidRDefault="00BB3DFC" w:rsidP="00C30869">
      <w:pPr>
        <w:pStyle w:val="ListParagraph"/>
        <w:numPr>
          <w:ilvl w:val="0"/>
          <w:numId w:val="2"/>
        </w:numPr>
      </w:pPr>
      <w:r>
        <w:t>It ha</w:t>
      </w:r>
      <w:r w:rsidR="00983AC7">
        <w:t>s</w:t>
      </w:r>
      <w:r>
        <w:t xml:space="preserve"> been shown that </w:t>
      </w:r>
      <w:r w:rsidR="00C30869">
        <w:t>ACE</w:t>
      </w:r>
      <w:r w:rsidR="00983AC7">
        <w:t>I</w:t>
      </w:r>
      <w:r w:rsidR="00C30869">
        <w:t xml:space="preserve"> </w:t>
      </w:r>
      <w:r>
        <w:t>reduce the production of interleukin-12 (IL-12) which is a</w:t>
      </w:r>
      <w:r w:rsidR="00C30869">
        <w:t xml:space="preserve"> cytokine </w:t>
      </w:r>
      <w:r>
        <w:t>also enhances</w:t>
      </w:r>
      <w:r w:rsidR="00C30869">
        <w:t xml:space="preserve"> erythropoiesis.</w:t>
      </w:r>
    </w:p>
    <w:p w14:paraId="6C67AB82" w14:textId="7F85615D" w:rsidR="00983AC7" w:rsidRDefault="00983AC7" w:rsidP="00983AC7">
      <w:r>
        <w:t xml:space="preserve">Finally, </w:t>
      </w:r>
      <w:r w:rsidRPr="00983AC7">
        <w:t xml:space="preserve">ACE gene polymorphisms influence ACE serum activity. Thus, some patients may be more susceptible to ESA resistance when using ACE and ARB inhibitors. The exclusion of these </w:t>
      </w:r>
      <w:r>
        <w:t xml:space="preserve">therapeutic </w:t>
      </w:r>
      <w:r w:rsidRPr="00983AC7">
        <w:t>classes for the treatment of hypertension in these patients can be an interesting strategy to optimize the treatment of anemia.</w:t>
      </w:r>
    </w:p>
    <w:p w14:paraId="3AF52306" w14:textId="77777777" w:rsidR="00B04122" w:rsidRDefault="00B04122" w:rsidP="00983AC7"/>
    <w:p w14:paraId="664A59A6" w14:textId="77777777" w:rsidR="00BC5C0E" w:rsidRPr="00B04122" w:rsidRDefault="00ED3360" w:rsidP="00BB3DFC">
      <w:pPr>
        <w:pStyle w:val="ListParagraph"/>
        <w:rPr>
          <w:b/>
          <w:bCs/>
          <w:sz w:val="28"/>
          <w:szCs w:val="28"/>
        </w:rPr>
      </w:pPr>
      <w:r w:rsidRPr="00B04122">
        <w:rPr>
          <w:b/>
          <w:bCs/>
          <w:sz w:val="28"/>
          <w:szCs w:val="28"/>
        </w:rPr>
        <w:lastRenderedPageBreak/>
        <w:t>References:</w:t>
      </w:r>
    </w:p>
    <w:p w14:paraId="5D70B76D" w14:textId="273C68BD" w:rsidR="00B04122" w:rsidRDefault="00B04122" w:rsidP="00BC5C0E">
      <w:pPr>
        <w:pStyle w:val="ListParagraph"/>
        <w:numPr>
          <w:ilvl w:val="0"/>
          <w:numId w:val="3"/>
        </w:numPr>
      </w:pPr>
      <w:r w:rsidRPr="00B04122">
        <w:t xml:space="preserve">How is ESA resistance defined in patients with anemia of chronic disease and renal failure, and what are the common causes of resistance? (2020, May 20). Retrieved November 14, 2020, from </w:t>
      </w:r>
      <w:hyperlink r:id="rId6" w:history="1">
        <w:r w:rsidRPr="000F74EC">
          <w:rPr>
            <w:rStyle w:val="Hyperlink"/>
          </w:rPr>
          <w:t>https://www.medscape.com/answers/1389854-91825/how-is-esa-resistance-defined-in-patients-with-anemia-of-chronic-disease-and-renal-failure-and-what-are-the-common-causes-of-resistance</w:t>
        </w:r>
      </w:hyperlink>
    </w:p>
    <w:p w14:paraId="59BF64CD" w14:textId="77777777" w:rsidR="00B04122" w:rsidRDefault="00B04122" w:rsidP="00B04122">
      <w:pPr>
        <w:pStyle w:val="ListParagraph"/>
        <w:ind w:left="1080"/>
      </w:pPr>
    </w:p>
    <w:p w14:paraId="48FDED09" w14:textId="33B5C8A2" w:rsidR="00BC5C0E" w:rsidRDefault="00BC5C0E" w:rsidP="00BC5C0E">
      <w:pPr>
        <w:pStyle w:val="ListParagraph"/>
        <w:numPr>
          <w:ilvl w:val="0"/>
          <w:numId w:val="3"/>
        </w:numPr>
      </w:pPr>
      <w:r w:rsidRPr="00BC5C0E">
        <w:t xml:space="preserve">Macdougall, I. (1999, August 01). Role of ACE inhibitors and angiotensin II receptor blockers in the response to epoetin. Retrieved November 14, 2020, from </w:t>
      </w:r>
      <w:hyperlink r:id="rId7" w:history="1">
        <w:r w:rsidRPr="000F74EC">
          <w:rPr>
            <w:rStyle w:val="Hyperlink"/>
          </w:rPr>
          <w:t>https://academic.oup.com/ndt/article/14/8/1836/1808507</w:t>
        </w:r>
      </w:hyperlink>
    </w:p>
    <w:p w14:paraId="000E0841" w14:textId="77777777" w:rsidR="00B04122" w:rsidRDefault="00B04122" w:rsidP="00B04122">
      <w:pPr>
        <w:pStyle w:val="ListParagraph"/>
      </w:pPr>
    </w:p>
    <w:p w14:paraId="5FDEC3E5" w14:textId="77777777" w:rsidR="00B04122" w:rsidRDefault="00B04122" w:rsidP="00B04122">
      <w:pPr>
        <w:pStyle w:val="ListParagraph"/>
        <w:ind w:left="1080"/>
      </w:pPr>
    </w:p>
    <w:p w14:paraId="779E4277" w14:textId="1E2E205C" w:rsidR="00BC5C0E" w:rsidRDefault="00BC5C0E" w:rsidP="00BC5C0E">
      <w:pPr>
        <w:pStyle w:val="ListParagraph"/>
        <w:numPr>
          <w:ilvl w:val="0"/>
          <w:numId w:val="3"/>
        </w:numPr>
      </w:pPr>
      <w:r w:rsidRPr="00BC5C0E">
        <w:t xml:space="preserve">Santos, E., Dias, R., Lima, J., Filho, N., &amp;amp; Santos, A. (2020, October 08). [Full text] Erythropoietin Resistance in Patients with Chronic Kidney Disease: Cur: IJNRD. Retrieved November 14, 2020, from </w:t>
      </w:r>
      <w:hyperlink r:id="rId8" w:history="1">
        <w:r w:rsidRPr="000F74EC">
          <w:rPr>
            <w:rStyle w:val="Hyperlink"/>
          </w:rPr>
          <w:t>https://www.dovepress.com/erythropoietin-resistance-in-patients-with-chronic-kidney-disease-curr-peer-reviewed-fulltext-article-IJNRD</w:t>
        </w:r>
      </w:hyperlink>
    </w:p>
    <w:p w14:paraId="4BA60FFF" w14:textId="1B716E4A" w:rsidR="00ED3360" w:rsidRDefault="00ED3360" w:rsidP="00B04122"/>
    <w:sectPr w:rsidR="00ED33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toneSans-Semibold">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1B082D"/>
    <w:multiLevelType w:val="hybridMultilevel"/>
    <w:tmpl w:val="8048DF9C"/>
    <w:lvl w:ilvl="0" w:tplc="CFC67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C402113"/>
    <w:multiLevelType w:val="hybridMultilevel"/>
    <w:tmpl w:val="71182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94097D"/>
    <w:multiLevelType w:val="hybridMultilevel"/>
    <w:tmpl w:val="8EA4B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14"/>
    <w:rsid w:val="00163403"/>
    <w:rsid w:val="003A29C9"/>
    <w:rsid w:val="00706D19"/>
    <w:rsid w:val="00737D17"/>
    <w:rsid w:val="00796C61"/>
    <w:rsid w:val="007D1208"/>
    <w:rsid w:val="00925A90"/>
    <w:rsid w:val="00983AC7"/>
    <w:rsid w:val="009B04D9"/>
    <w:rsid w:val="00A130C6"/>
    <w:rsid w:val="00AA7608"/>
    <w:rsid w:val="00AB4614"/>
    <w:rsid w:val="00B04122"/>
    <w:rsid w:val="00BB3DFC"/>
    <w:rsid w:val="00BC5C0E"/>
    <w:rsid w:val="00C30869"/>
    <w:rsid w:val="00CC33D3"/>
    <w:rsid w:val="00E26E68"/>
    <w:rsid w:val="00ED33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ADCB"/>
  <w15:chartTrackingRefBased/>
  <w15:docId w15:val="{1DE2F3E3-5958-47D7-9EF1-2F948689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A90"/>
    <w:pPr>
      <w:ind w:left="720"/>
      <w:contextualSpacing/>
    </w:pPr>
  </w:style>
  <w:style w:type="character" w:styleId="Hyperlink">
    <w:name w:val="Hyperlink"/>
    <w:basedOn w:val="DefaultParagraphFont"/>
    <w:uiPriority w:val="99"/>
    <w:unhideWhenUsed/>
    <w:rsid w:val="00CC33D3"/>
    <w:rPr>
      <w:color w:val="0000FF"/>
      <w:u w:val="single"/>
    </w:rPr>
  </w:style>
  <w:style w:type="character" w:styleId="Emphasis">
    <w:name w:val="Emphasis"/>
    <w:basedOn w:val="DefaultParagraphFont"/>
    <w:uiPriority w:val="20"/>
    <w:qFormat/>
    <w:rsid w:val="00A130C6"/>
    <w:rPr>
      <w:i/>
      <w:iCs/>
    </w:rPr>
  </w:style>
  <w:style w:type="character" w:styleId="UnresolvedMention">
    <w:name w:val="Unresolved Mention"/>
    <w:basedOn w:val="DefaultParagraphFont"/>
    <w:uiPriority w:val="99"/>
    <w:semiHidden/>
    <w:unhideWhenUsed/>
    <w:rsid w:val="00ED3360"/>
    <w:rPr>
      <w:color w:val="605E5C"/>
      <w:shd w:val="clear" w:color="auto" w:fill="E1DFDD"/>
    </w:rPr>
  </w:style>
  <w:style w:type="character" w:styleId="FollowedHyperlink">
    <w:name w:val="FollowedHyperlink"/>
    <w:basedOn w:val="DefaultParagraphFont"/>
    <w:uiPriority w:val="99"/>
    <w:semiHidden/>
    <w:unhideWhenUsed/>
    <w:rsid w:val="00BC5C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833855">
      <w:bodyDiv w:val="1"/>
      <w:marLeft w:val="0"/>
      <w:marRight w:val="0"/>
      <w:marTop w:val="0"/>
      <w:marBottom w:val="0"/>
      <w:divBdr>
        <w:top w:val="none" w:sz="0" w:space="0" w:color="auto"/>
        <w:left w:val="none" w:sz="0" w:space="0" w:color="auto"/>
        <w:bottom w:val="none" w:sz="0" w:space="0" w:color="auto"/>
        <w:right w:val="none" w:sz="0" w:space="0" w:color="auto"/>
      </w:divBdr>
    </w:div>
    <w:div w:id="769739442">
      <w:bodyDiv w:val="1"/>
      <w:marLeft w:val="0"/>
      <w:marRight w:val="0"/>
      <w:marTop w:val="0"/>
      <w:marBottom w:val="0"/>
      <w:divBdr>
        <w:top w:val="none" w:sz="0" w:space="0" w:color="auto"/>
        <w:left w:val="none" w:sz="0" w:space="0" w:color="auto"/>
        <w:bottom w:val="none" w:sz="0" w:space="0" w:color="auto"/>
        <w:right w:val="none" w:sz="0" w:space="0" w:color="auto"/>
      </w:divBdr>
    </w:div>
    <w:div w:id="1304694721">
      <w:bodyDiv w:val="1"/>
      <w:marLeft w:val="0"/>
      <w:marRight w:val="0"/>
      <w:marTop w:val="0"/>
      <w:marBottom w:val="0"/>
      <w:divBdr>
        <w:top w:val="none" w:sz="0" w:space="0" w:color="auto"/>
        <w:left w:val="none" w:sz="0" w:space="0" w:color="auto"/>
        <w:bottom w:val="none" w:sz="0" w:space="0" w:color="auto"/>
        <w:right w:val="none" w:sz="0" w:space="0" w:color="auto"/>
      </w:divBdr>
    </w:div>
    <w:div w:id="183988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vepress.com/erythropoietin-resistance-in-patients-with-chronic-kidney-disease-curr-peer-reviewed-fulltext-article-IJNRD" TargetMode="External"/><Relationship Id="rId3" Type="http://schemas.openxmlformats.org/officeDocument/2006/relationships/settings" Target="settings.xml"/><Relationship Id="rId7" Type="http://schemas.openxmlformats.org/officeDocument/2006/relationships/hyperlink" Target="https://academic.oup.com/ndt/article/14/8/1836/18085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scape.com/answers/1389854-91825/how-is-esa-resistance-defined-in-patients-with-anemia-of-chronic-disease-and-renal-failure-and-what-are-the-common-causes-of-resistanc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2897</TotalTime>
  <Pages>1</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2020-11-13T17:45:00Z</dcterms:created>
  <dcterms:modified xsi:type="dcterms:W3CDTF">2020-11-26T04:45:00Z</dcterms:modified>
</cp:coreProperties>
</file>