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A4" w:rsidRPr="00F74548" w:rsidRDefault="008157A4" w:rsidP="008157A4">
      <w:pPr>
        <w:rPr>
          <w:b/>
          <w:bCs/>
          <w:color w:val="0F243E" w:themeColor="text2" w:themeShade="80"/>
          <w:sz w:val="24"/>
          <w:szCs w:val="24"/>
        </w:rPr>
      </w:pPr>
      <w:proofErr w:type="spellStart"/>
      <w:r w:rsidRPr="00F74548">
        <w:rPr>
          <w:b/>
          <w:bCs/>
          <w:color w:val="0F243E" w:themeColor="text2" w:themeShade="80"/>
          <w:sz w:val="24"/>
          <w:szCs w:val="24"/>
        </w:rPr>
        <w:t>Tranxameic</w:t>
      </w:r>
      <w:proofErr w:type="spellEnd"/>
      <w:r w:rsidRPr="00F74548">
        <w:rPr>
          <w:b/>
          <w:bCs/>
          <w:color w:val="0F243E" w:themeColor="text2" w:themeShade="80"/>
          <w:sz w:val="24"/>
          <w:szCs w:val="24"/>
        </w:rPr>
        <w:t xml:space="preserve"> acid </w:t>
      </w:r>
    </w:p>
    <w:p w:rsidR="008157A4" w:rsidRPr="00F74548" w:rsidRDefault="008157A4" w:rsidP="008157A4">
      <w:pPr>
        <w:rPr>
          <w:b/>
          <w:bCs/>
          <w:color w:val="0F243E" w:themeColor="text2" w:themeShade="80"/>
          <w:sz w:val="24"/>
          <w:szCs w:val="24"/>
          <w:u w:val="single"/>
        </w:rPr>
      </w:pPr>
      <w:r w:rsidRPr="00F74548">
        <w:rPr>
          <w:b/>
          <w:bCs/>
          <w:color w:val="0F243E" w:themeColor="text2" w:themeShade="80"/>
          <w:sz w:val="24"/>
          <w:szCs w:val="24"/>
          <w:u w:val="single"/>
        </w:rPr>
        <w:t>Use: Labeled Indications</w:t>
      </w:r>
    </w:p>
    <w:p w:rsidR="008157A4" w:rsidRPr="00F74548" w:rsidRDefault="008157A4" w:rsidP="008157A4">
      <w:pPr>
        <w:pStyle w:val="ListParagraph"/>
        <w:numPr>
          <w:ilvl w:val="0"/>
          <w:numId w:val="1"/>
        </w:numPr>
        <w:rPr>
          <w:color w:val="0F243E" w:themeColor="text2" w:themeShade="80"/>
          <w:sz w:val="24"/>
          <w:szCs w:val="24"/>
        </w:rPr>
      </w:pPr>
      <w:r w:rsidRPr="00F74548">
        <w:rPr>
          <w:b/>
          <w:bCs/>
          <w:color w:val="0F243E" w:themeColor="text2" w:themeShade="80"/>
          <w:sz w:val="24"/>
          <w:szCs w:val="24"/>
        </w:rPr>
        <w:t>Menstrual bleeding, heavy (oral</w:t>
      </w:r>
      <w:r w:rsidRPr="00F74548">
        <w:rPr>
          <w:color w:val="0F243E" w:themeColor="text2" w:themeShade="80"/>
          <w:sz w:val="24"/>
          <w:szCs w:val="24"/>
        </w:rPr>
        <w:t>): Treatment of cyclic heavy menstrual bleeding.</w:t>
      </w:r>
    </w:p>
    <w:p w:rsidR="008157A4" w:rsidRPr="00F74548" w:rsidRDefault="008157A4" w:rsidP="008157A4">
      <w:pPr>
        <w:pStyle w:val="ListParagraph"/>
        <w:numPr>
          <w:ilvl w:val="0"/>
          <w:numId w:val="1"/>
        </w:numPr>
        <w:rPr>
          <w:color w:val="0F243E" w:themeColor="text2" w:themeShade="80"/>
          <w:sz w:val="24"/>
          <w:szCs w:val="24"/>
        </w:rPr>
      </w:pPr>
      <w:r w:rsidRPr="00F74548">
        <w:rPr>
          <w:b/>
          <w:bCs/>
          <w:color w:val="0F243E" w:themeColor="text2" w:themeShade="80"/>
          <w:sz w:val="24"/>
          <w:szCs w:val="24"/>
        </w:rPr>
        <w:t xml:space="preserve">Tooth extraction in patients with hemostatic defects </w:t>
      </w:r>
      <w:r w:rsidRPr="00F74548">
        <w:rPr>
          <w:color w:val="0F243E" w:themeColor="text2" w:themeShade="80"/>
          <w:sz w:val="24"/>
          <w:szCs w:val="24"/>
        </w:rPr>
        <w:t>(injection, oral ) : Short-term use in hemophilia patients to reduce or prevent hemorrhage and reduce need for replacement therapy during and following tooth extraction</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Use: Off-Label: Adult</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Dental procedures in patients on oral anticoagulant </w:t>
      </w:r>
      <w:proofErr w:type="spellStart"/>
      <w:r w:rsidRPr="00F74548">
        <w:rPr>
          <w:b/>
          <w:bCs/>
          <w:color w:val="0F243E" w:themeColor="text2" w:themeShade="80"/>
          <w:sz w:val="24"/>
          <w:szCs w:val="24"/>
        </w:rPr>
        <w:t>therapyLevel</w:t>
      </w:r>
      <w:proofErr w:type="spellEnd"/>
      <w:r w:rsidRPr="00F74548">
        <w:rPr>
          <w:color w:val="0F243E" w:themeColor="text2" w:themeShade="80"/>
          <w:sz w:val="24"/>
          <w:szCs w:val="24"/>
        </w:rPr>
        <w:t xml:space="preserve"> of Evidence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Hemoptysis (</w:t>
      </w:r>
      <w:proofErr w:type="spellStart"/>
      <w:r w:rsidRPr="00F74548">
        <w:rPr>
          <w:b/>
          <w:bCs/>
          <w:color w:val="0F243E" w:themeColor="text2" w:themeShade="80"/>
          <w:sz w:val="24"/>
          <w:szCs w:val="24"/>
        </w:rPr>
        <w:t>nonmassive</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treatmentLevel</w:t>
      </w:r>
      <w:proofErr w:type="spellEnd"/>
      <w:r w:rsidRPr="00F74548">
        <w:rPr>
          <w:color w:val="0F243E" w:themeColor="text2" w:themeShade="80"/>
          <w:sz w:val="24"/>
          <w:szCs w:val="24"/>
        </w:rPr>
        <w:t xml:space="preserve"> of Evidence [C]</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Hereditary angioedema, long-term </w:t>
      </w:r>
      <w:proofErr w:type="spellStart"/>
      <w:r w:rsidRPr="00F74548">
        <w:rPr>
          <w:b/>
          <w:bCs/>
          <w:color w:val="0F243E" w:themeColor="text2" w:themeShade="80"/>
          <w:sz w:val="24"/>
          <w:szCs w:val="24"/>
        </w:rPr>
        <w:t>prophylaxisLevel</w:t>
      </w:r>
      <w:proofErr w:type="spellEnd"/>
      <w:r w:rsidRPr="00F74548">
        <w:rPr>
          <w:color w:val="0F243E" w:themeColor="text2" w:themeShade="80"/>
          <w:sz w:val="24"/>
          <w:szCs w:val="24"/>
        </w:rPr>
        <w:t xml:space="preserve"> of Evidence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Hereditary hemorrhagic telangiectasia, epistaxis or other bleeding</w:t>
      </w:r>
      <w:r w:rsidRPr="00F74548">
        <w:rPr>
          <w:color w:val="0F243E" w:themeColor="text2" w:themeShade="80"/>
          <w:sz w:val="24"/>
          <w:szCs w:val="24"/>
        </w:rPr>
        <w:t xml:space="preserve"> </w:t>
      </w:r>
      <w:proofErr w:type="spellStart"/>
      <w:r w:rsidRPr="00F74548">
        <w:rPr>
          <w:color w:val="0F243E" w:themeColor="text2" w:themeShade="80"/>
          <w:sz w:val="24"/>
          <w:szCs w:val="24"/>
        </w:rPr>
        <w:t>sitesLevel</w:t>
      </w:r>
      <w:proofErr w:type="spellEnd"/>
      <w:r w:rsidRPr="00F74548">
        <w:rPr>
          <w:color w:val="0F243E" w:themeColor="text2" w:themeShade="80"/>
          <w:sz w:val="24"/>
          <w:szCs w:val="24"/>
        </w:rPr>
        <w:t xml:space="preserve"> of Evidence [B]</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Intracranial hemorrhage associated with thrombolytic </w:t>
      </w:r>
      <w:proofErr w:type="spellStart"/>
      <w:r w:rsidRPr="00F74548">
        <w:rPr>
          <w:b/>
          <w:bCs/>
          <w:color w:val="0F243E" w:themeColor="text2" w:themeShade="80"/>
          <w:sz w:val="24"/>
          <w:szCs w:val="24"/>
        </w:rPr>
        <w:t>treatment</w:t>
      </w:r>
      <w:r w:rsidRPr="00F74548">
        <w:rPr>
          <w:color w:val="0F243E" w:themeColor="text2" w:themeShade="80"/>
          <w:sz w:val="24"/>
          <w:szCs w:val="24"/>
        </w:rPr>
        <w:t>Level</w:t>
      </w:r>
      <w:proofErr w:type="spellEnd"/>
      <w:r w:rsidRPr="00F74548">
        <w:rPr>
          <w:color w:val="0F243E" w:themeColor="text2" w:themeShade="80"/>
          <w:sz w:val="24"/>
          <w:szCs w:val="24"/>
        </w:rPr>
        <w:t xml:space="preserve"> of Evidence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Perioperative prevention of blood loss and transfusion, cardiac </w:t>
      </w:r>
      <w:proofErr w:type="spellStart"/>
      <w:r w:rsidRPr="00F74548">
        <w:rPr>
          <w:b/>
          <w:bCs/>
          <w:color w:val="0F243E" w:themeColor="text2" w:themeShade="80"/>
          <w:sz w:val="24"/>
          <w:szCs w:val="24"/>
        </w:rPr>
        <w:t>surgery</w:t>
      </w:r>
      <w:r w:rsidRPr="00F74548">
        <w:rPr>
          <w:color w:val="0F243E" w:themeColor="text2" w:themeShade="80"/>
          <w:sz w:val="24"/>
          <w:szCs w:val="24"/>
        </w:rPr>
        <w:t>Level</w:t>
      </w:r>
      <w:proofErr w:type="spellEnd"/>
      <w:r w:rsidRPr="00F74548">
        <w:rPr>
          <w:color w:val="0F243E" w:themeColor="text2" w:themeShade="80"/>
          <w:sz w:val="24"/>
          <w:szCs w:val="24"/>
        </w:rPr>
        <w:t xml:space="preserve"> of Evidence [A]</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Perioperative prevention of blood loss and transfusion, orthopedic surgery (hip or knee </w:t>
      </w:r>
      <w:proofErr w:type="spellStart"/>
      <w:r w:rsidRPr="00F74548">
        <w:rPr>
          <w:b/>
          <w:bCs/>
          <w:color w:val="0F243E" w:themeColor="text2" w:themeShade="80"/>
          <w:sz w:val="24"/>
          <w:szCs w:val="24"/>
        </w:rPr>
        <w:t>arthroplasty</w:t>
      </w:r>
      <w:proofErr w:type="spellEnd"/>
      <w:r w:rsidRPr="00F74548">
        <w:rPr>
          <w:color w:val="0F243E" w:themeColor="text2" w:themeShade="80"/>
          <w:sz w:val="24"/>
          <w:szCs w:val="24"/>
        </w:rPr>
        <w:t>)Level of Evidence [A,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Perioperative prevention of blood loss and transfusion, spinal </w:t>
      </w:r>
      <w:proofErr w:type="spellStart"/>
      <w:r w:rsidRPr="00F74548">
        <w:rPr>
          <w:b/>
          <w:bCs/>
          <w:color w:val="0F243E" w:themeColor="text2" w:themeShade="80"/>
          <w:sz w:val="24"/>
          <w:szCs w:val="24"/>
        </w:rPr>
        <w:t>surgery</w:t>
      </w:r>
      <w:r w:rsidRPr="00F74548">
        <w:rPr>
          <w:color w:val="0F243E" w:themeColor="text2" w:themeShade="80"/>
          <w:sz w:val="24"/>
          <w:szCs w:val="24"/>
        </w:rPr>
        <w:t>Level</w:t>
      </w:r>
      <w:proofErr w:type="spellEnd"/>
      <w:r w:rsidRPr="00F74548">
        <w:rPr>
          <w:color w:val="0F243E" w:themeColor="text2" w:themeShade="80"/>
          <w:sz w:val="24"/>
          <w:szCs w:val="24"/>
        </w:rPr>
        <w:t xml:space="preserve"> of Evidence [B]</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Postpartum hemorrhage</w:t>
      </w:r>
      <w:r w:rsidRPr="00F74548">
        <w:rPr>
          <w:color w:val="0F243E" w:themeColor="text2" w:themeShade="80"/>
          <w:sz w:val="24"/>
          <w:szCs w:val="24"/>
        </w:rPr>
        <w:t xml:space="preserve">, </w:t>
      </w:r>
      <w:proofErr w:type="spellStart"/>
      <w:r w:rsidRPr="00F74548">
        <w:rPr>
          <w:color w:val="0F243E" w:themeColor="text2" w:themeShade="80"/>
          <w:sz w:val="24"/>
          <w:szCs w:val="24"/>
        </w:rPr>
        <w:t>preventionLevel</w:t>
      </w:r>
      <w:proofErr w:type="spellEnd"/>
      <w:r w:rsidRPr="00F74548">
        <w:rPr>
          <w:color w:val="0F243E" w:themeColor="text2" w:themeShade="80"/>
          <w:sz w:val="24"/>
          <w:szCs w:val="24"/>
        </w:rPr>
        <w:t xml:space="preserve"> of Evidence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Postpartum hemorrhage</w:t>
      </w:r>
      <w:r w:rsidRPr="00F74548">
        <w:rPr>
          <w:color w:val="0F243E" w:themeColor="text2" w:themeShade="80"/>
          <w:sz w:val="24"/>
          <w:szCs w:val="24"/>
        </w:rPr>
        <w:t xml:space="preserve">, </w:t>
      </w:r>
      <w:proofErr w:type="spellStart"/>
      <w:r w:rsidRPr="00F74548">
        <w:rPr>
          <w:color w:val="0F243E" w:themeColor="text2" w:themeShade="80"/>
          <w:sz w:val="24"/>
          <w:szCs w:val="24"/>
        </w:rPr>
        <w:t>treatmentLevel</w:t>
      </w:r>
      <w:proofErr w:type="spellEnd"/>
      <w:r w:rsidRPr="00F74548">
        <w:rPr>
          <w:color w:val="0F243E" w:themeColor="text2" w:themeShade="80"/>
          <w:sz w:val="24"/>
          <w:szCs w:val="24"/>
        </w:rPr>
        <w:t xml:space="preserve"> of Evidence [A,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Subarachnoid hemorrhage, prevention of early aneurysmal </w:t>
      </w:r>
      <w:proofErr w:type="spellStart"/>
      <w:r w:rsidRPr="00F74548">
        <w:rPr>
          <w:b/>
          <w:bCs/>
          <w:color w:val="0F243E" w:themeColor="text2" w:themeShade="80"/>
          <w:sz w:val="24"/>
          <w:szCs w:val="24"/>
        </w:rPr>
        <w:t>rebleeding</w:t>
      </w:r>
      <w:r w:rsidRPr="00F74548">
        <w:rPr>
          <w:color w:val="0F243E" w:themeColor="text2" w:themeShade="80"/>
          <w:sz w:val="24"/>
          <w:szCs w:val="24"/>
        </w:rPr>
        <w:t>Level</w:t>
      </w:r>
      <w:proofErr w:type="spellEnd"/>
      <w:r w:rsidRPr="00F74548">
        <w:rPr>
          <w:color w:val="0F243E" w:themeColor="text2" w:themeShade="80"/>
          <w:sz w:val="24"/>
          <w:szCs w:val="24"/>
        </w:rPr>
        <w:t xml:space="preserve"> of Evidence [C, G]</w:t>
      </w:r>
    </w:p>
    <w:p w:rsidR="008157A4" w:rsidRPr="00F74548" w:rsidRDefault="008157A4" w:rsidP="008157A4">
      <w:pPr>
        <w:pStyle w:val="ListParagraph"/>
        <w:numPr>
          <w:ilvl w:val="0"/>
          <w:numId w:val="2"/>
        </w:numPr>
        <w:rPr>
          <w:color w:val="0F243E" w:themeColor="text2" w:themeShade="80"/>
          <w:sz w:val="24"/>
          <w:szCs w:val="24"/>
        </w:rPr>
      </w:pPr>
      <w:r w:rsidRPr="00F74548">
        <w:rPr>
          <w:b/>
          <w:bCs/>
          <w:color w:val="0F243E" w:themeColor="text2" w:themeShade="80"/>
          <w:sz w:val="24"/>
          <w:szCs w:val="24"/>
        </w:rPr>
        <w:t xml:space="preserve">Trauma-associated hemorrhage or traumatic brain </w:t>
      </w:r>
      <w:proofErr w:type="spellStart"/>
      <w:r w:rsidRPr="00F74548">
        <w:rPr>
          <w:color w:val="0F243E" w:themeColor="text2" w:themeShade="80"/>
          <w:sz w:val="24"/>
          <w:szCs w:val="24"/>
        </w:rPr>
        <w:t>injuryLevel</w:t>
      </w:r>
      <w:proofErr w:type="spellEnd"/>
      <w:r w:rsidRPr="00F74548">
        <w:rPr>
          <w:color w:val="0F243E" w:themeColor="text2" w:themeShade="80"/>
          <w:sz w:val="24"/>
          <w:szCs w:val="24"/>
        </w:rPr>
        <w:t xml:space="preserve"> of Evidence [A</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Administration: IV</w:t>
      </w:r>
    </w:p>
    <w:p w:rsidR="008157A4" w:rsidRPr="00F74548" w:rsidRDefault="008157A4" w:rsidP="008157A4">
      <w:pPr>
        <w:rPr>
          <w:color w:val="0F243E" w:themeColor="text2" w:themeShade="80"/>
          <w:sz w:val="24"/>
          <w:szCs w:val="24"/>
        </w:rPr>
      </w:pPr>
      <w:r w:rsidRPr="00F74548">
        <w:rPr>
          <w:color w:val="0F243E" w:themeColor="text2" w:themeShade="80"/>
          <w:sz w:val="24"/>
          <w:szCs w:val="24"/>
        </w:rPr>
        <w:t>May be administered by direct IV injection at a maximum rate of 100 mg/</w:t>
      </w:r>
      <w:proofErr w:type="gramStart"/>
      <w:r w:rsidRPr="00F74548">
        <w:rPr>
          <w:color w:val="0F243E" w:themeColor="text2" w:themeShade="80"/>
          <w:sz w:val="24"/>
          <w:szCs w:val="24"/>
        </w:rPr>
        <w:t>minute ,</w:t>
      </w:r>
      <w:proofErr w:type="gramEnd"/>
      <w:r w:rsidRPr="00F74548">
        <w:rPr>
          <w:color w:val="0F243E" w:themeColor="text2" w:themeShade="80"/>
          <w:sz w:val="24"/>
          <w:szCs w:val="24"/>
        </w:rPr>
        <w:t xml:space="preserve"> faster rates may cause hypotension.</w:t>
      </w:r>
    </w:p>
    <w:p w:rsidR="008157A4" w:rsidRPr="00F74548" w:rsidRDefault="008157A4" w:rsidP="008157A4">
      <w:pPr>
        <w:rPr>
          <w:color w:val="0F243E" w:themeColor="text2" w:themeShade="80"/>
          <w:sz w:val="24"/>
          <w:szCs w:val="24"/>
        </w:rPr>
      </w:pPr>
      <w:r w:rsidRPr="00F74548">
        <w:rPr>
          <w:color w:val="0F243E" w:themeColor="text2" w:themeShade="80"/>
          <w:sz w:val="24"/>
          <w:szCs w:val="24"/>
        </w:rPr>
        <w:t>Administration: Injectable Detail</w:t>
      </w:r>
    </w:p>
    <w:p w:rsidR="008157A4" w:rsidRPr="00F74548" w:rsidRDefault="008157A4" w:rsidP="008157A4">
      <w:pPr>
        <w:rPr>
          <w:color w:val="0F243E" w:themeColor="text2" w:themeShade="80"/>
          <w:sz w:val="24"/>
          <w:szCs w:val="24"/>
        </w:rPr>
      </w:pPr>
      <w:proofErr w:type="gramStart"/>
      <w:r w:rsidRPr="00F74548">
        <w:rPr>
          <w:color w:val="0F243E" w:themeColor="text2" w:themeShade="80"/>
          <w:sz w:val="24"/>
          <w:szCs w:val="24"/>
        </w:rPr>
        <w:t>pH</w:t>
      </w:r>
      <w:proofErr w:type="gramEnd"/>
      <w:r w:rsidRPr="00F74548">
        <w:rPr>
          <w:color w:val="0F243E" w:themeColor="text2" w:themeShade="80"/>
          <w:sz w:val="24"/>
          <w:szCs w:val="24"/>
        </w:rPr>
        <w:t>: 6.5 to 8 (intact vial/ampule).</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Administration: Oral</w:t>
      </w:r>
    </w:p>
    <w:p w:rsidR="008157A4" w:rsidRPr="00F74548" w:rsidRDefault="008157A4" w:rsidP="008157A4">
      <w:pPr>
        <w:rPr>
          <w:color w:val="0F243E" w:themeColor="text2" w:themeShade="80"/>
          <w:sz w:val="24"/>
          <w:szCs w:val="24"/>
        </w:rPr>
      </w:pPr>
      <w:r w:rsidRPr="00F74548">
        <w:rPr>
          <w:color w:val="0F243E" w:themeColor="text2" w:themeShade="80"/>
          <w:sz w:val="24"/>
          <w:szCs w:val="24"/>
        </w:rPr>
        <w:t>Administer without regard to meals. Swallow tablet whole; do not break, chew, or crush.</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Administration: Inhalation</w:t>
      </w:r>
    </w:p>
    <w:p w:rsidR="008157A4" w:rsidRPr="00F74548" w:rsidRDefault="008157A4" w:rsidP="008157A4">
      <w:pPr>
        <w:rPr>
          <w:color w:val="0F243E" w:themeColor="text2" w:themeShade="80"/>
          <w:sz w:val="24"/>
          <w:szCs w:val="24"/>
        </w:rPr>
      </w:pPr>
      <w:r w:rsidRPr="00F74548">
        <w:rPr>
          <w:color w:val="0F243E" w:themeColor="text2" w:themeShade="80"/>
          <w:sz w:val="24"/>
          <w:szCs w:val="24"/>
        </w:rPr>
        <w:lastRenderedPageBreak/>
        <w:t>Inhalation via nebulization (off-label use/route): Administer over 15 minutes via jet nebulizer</w:t>
      </w:r>
    </w:p>
    <w:p w:rsidR="008157A4" w:rsidRPr="00F74548" w:rsidRDefault="008157A4" w:rsidP="008157A4">
      <w:pPr>
        <w:rPr>
          <w:b/>
          <w:bCs/>
          <w:color w:val="0F243E" w:themeColor="text2" w:themeShade="80"/>
          <w:sz w:val="24"/>
          <w:szCs w:val="24"/>
          <w:u w:val="single"/>
        </w:rPr>
      </w:pPr>
      <w:r w:rsidRPr="00F74548">
        <w:rPr>
          <w:b/>
          <w:bCs/>
          <w:color w:val="0F243E" w:themeColor="text2" w:themeShade="80"/>
          <w:sz w:val="24"/>
          <w:szCs w:val="24"/>
          <w:u w:val="single"/>
        </w:rPr>
        <w:t>Contraindications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 xml:space="preserve">Hypersensitivity to </w:t>
      </w:r>
      <w:proofErr w:type="spellStart"/>
      <w:r w:rsidRPr="00F74548">
        <w:rPr>
          <w:b/>
          <w:bCs/>
          <w:color w:val="0F243E" w:themeColor="text2" w:themeShade="80"/>
          <w:sz w:val="24"/>
          <w:szCs w:val="24"/>
        </w:rPr>
        <w:t>tranexamic</w:t>
      </w:r>
      <w:proofErr w:type="spellEnd"/>
      <w:r w:rsidRPr="00F74548">
        <w:rPr>
          <w:b/>
          <w:bCs/>
          <w:color w:val="0F243E" w:themeColor="text2" w:themeShade="80"/>
          <w:sz w:val="24"/>
          <w:szCs w:val="24"/>
        </w:rPr>
        <w:t xml:space="preserve"> acid or any component of the formulation</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Injection: Active intravascular clotting; subarachnoid hemorrhage</w:t>
      </w:r>
      <w:r w:rsidRPr="00F74548">
        <w:rPr>
          <w:color w:val="0F243E" w:themeColor="text2" w:themeShade="80"/>
          <w:sz w:val="24"/>
          <w:szCs w:val="24"/>
        </w:rPr>
        <w:t xml:space="preserve">. Note: Although subarachnoid hemorrhage (SAH) is listed in the manufacturer’s labeling as a contraindication due to risk of cerebral edema and cerebral infarction, use has been described in the literature for aneurysmal SAH. When definitive treatment of the aneurysm is unavoidably delayed and no other contraindications exist, short-term use (&lt;72 hours) of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a reasonable treatment option to reduce the risk of early </w:t>
      </w:r>
      <w:proofErr w:type="spellStart"/>
      <w:r w:rsidRPr="00F74548">
        <w:rPr>
          <w:color w:val="0F243E" w:themeColor="text2" w:themeShade="80"/>
          <w:sz w:val="24"/>
          <w:szCs w:val="24"/>
        </w:rPr>
        <w:t>rebleeding</w:t>
      </w:r>
      <w:proofErr w:type="spellEnd"/>
      <w:r w:rsidRPr="00F74548">
        <w:rPr>
          <w:color w:val="0F243E" w:themeColor="text2" w:themeShade="80"/>
          <w:sz w:val="24"/>
          <w:szCs w:val="24"/>
        </w:rPr>
        <w:t xml:space="preserve"> without an increased risk of vasospasm and delayed ischemia; however, clinical trial data regarding improved outcomes are not conclusive at this time and an increased risk of deep venous thrombosis has been reported </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Oral:</w:t>
      </w:r>
      <w:r w:rsidRPr="00F74548">
        <w:rPr>
          <w:color w:val="0F243E" w:themeColor="text2" w:themeShade="80"/>
          <w:sz w:val="24"/>
          <w:szCs w:val="24"/>
        </w:rPr>
        <w:t xml:space="preserve"> </w:t>
      </w:r>
      <w:r w:rsidRPr="00F74548">
        <w:rPr>
          <w:b/>
          <w:bCs/>
          <w:color w:val="0F243E" w:themeColor="text2" w:themeShade="80"/>
          <w:sz w:val="24"/>
          <w:szCs w:val="24"/>
        </w:rPr>
        <w:t>Active thromboembolic disease (</w:t>
      </w:r>
      <w:proofErr w:type="spellStart"/>
      <w:r w:rsidRPr="00F74548">
        <w:rPr>
          <w:b/>
          <w:bCs/>
          <w:color w:val="0F243E" w:themeColor="text2" w:themeShade="80"/>
          <w:sz w:val="24"/>
          <w:szCs w:val="24"/>
        </w:rPr>
        <w:t>eg</w:t>
      </w:r>
      <w:proofErr w:type="spellEnd"/>
      <w:r w:rsidRPr="00F74548">
        <w:rPr>
          <w:b/>
          <w:bCs/>
          <w:color w:val="0F243E" w:themeColor="text2" w:themeShade="80"/>
          <w:sz w:val="24"/>
          <w:szCs w:val="24"/>
        </w:rPr>
        <w:t>, cerebral thrombosis, DVT, or PE); history of thrombosis or thromboembolism, including retinal vein or retinal artery occlusion; intrinsic risk of thrombosis or thromboembolism</w:t>
      </w:r>
      <w:r w:rsidRPr="00F74548">
        <w:rPr>
          <w:color w:val="0F243E" w:themeColor="text2" w:themeShade="80"/>
          <w:sz w:val="24"/>
          <w:szCs w:val="24"/>
        </w:rPr>
        <w:t xml:space="preserve"> (</w:t>
      </w:r>
      <w:proofErr w:type="spellStart"/>
      <w:r w:rsidRPr="00F74548">
        <w:rPr>
          <w:color w:val="0F243E" w:themeColor="text2" w:themeShade="80"/>
          <w:sz w:val="24"/>
          <w:szCs w:val="24"/>
        </w:rPr>
        <w:t>eg</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hypercoagulopathy</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thrombogenic</w:t>
      </w:r>
      <w:proofErr w:type="spellEnd"/>
      <w:r w:rsidRPr="00F74548">
        <w:rPr>
          <w:color w:val="0F243E" w:themeColor="text2" w:themeShade="80"/>
          <w:sz w:val="24"/>
          <w:szCs w:val="24"/>
        </w:rPr>
        <w:t xml:space="preserve"> cardiac rhythm disease, </w:t>
      </w:r>
      <w:proofErr w:type="spellStart"/>
      <w:r w:rsidRPr="00F74548">
        <w:rPr>
          <w:color w:val="0F243E" w:themeColor="text2" w:themeShade="80"/>
          <w:sz w:val="24"/>
          <w:szCs w:val="24"/>
        </w:rPr>
        <w:t>thrombogenic</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valvular</w:t>
      </w:r>
      <w:proofErr w:type="spellEnd"/>
      <w:r w:rsidRPr="00F74548">
        <w:rPr>
          <w:color w:val="0F243E" w:themeColor="text2" w:themeShade="80"/>
          <w:sz w:val="24"/>
          <w:szCs w:val="24"/>
        </w:rPr>
        <w:t xml:space="preserve"> disease); concurrent use of combination hormonal contraception</w:t>
      </w:r>
    </w:p>
    <w:p w:rsidR="008157A4" w:rsidRPr="00F74548" w:rsidRDefault="008157A4" w:rsidP="008157A4">
      <w:pPr>
        <w:rPr>
          <w:color w:val="0F243E" w:themeColor="text2" w:themeShade="80"/>
          <w:sz w:val="24"/>
          <w:szCs w:val="24"/>
        </w:rPr>
      </w:pPr>
      <w:r w:rsidRPr="00F74548">
        <w:rPr>
          <w:color w:val="0F243E" w:themeColor="text2" w:themeShade="80"/>
          <w:sz w:val="24"/>
          <w:szCs w:val="24"/>
        </w:rPr>
        <w:t>Canadian labeling: Additional contraindications (not in the US labeling): Injection, oral: History or risk of thrombosis (unless concurrent anticoagulation therapy is possible); hematuria</w:t>
      </w:r>
    </w:p>
    <w:p w:rsidR="008157A4" w:rsidRPr="00F74548" w:rsidRDefault="008157A4" w:rsidP="008157A4">
      <w:pPr>
        <w:rPr>
          <w:color w:val="0F243E" w:themeColor="text2" w:themeShade="80"/>
          <w:sz w:val="24"/>
          <w:szCs w:val="24"/>
        </w:rPr>
      </w:pPr>
      <w:r w:rsidRPr="00F74548">
        <w:rPr>
          <w:color w:val="0F243E" w:themeColor="text2" w:themeShade="80"/>
          <w:sz w:val="24"/>
          <w:szCs w:val="24"/>
        </w:rPr>
        <w:t>Warnings/Precautions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Concerns related to adverse effects:</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 CNS effects</w:t>
      </w:r>
      <w:r w:rsidRPr="00F74548">
        <w:rPr>
          <w:color w:val="0F243E" w:themeColor="text2" w:themeShade="80"/>
          <w:sz w:val="24"/>
          <w:szCs w:val="24"/>
        </w:rPr>
        <w:t>: May cause dizziness, which may impair physical or mental abilities; patients must be cautioned about performing tasks which require mental alertness (</w:t>
      </w:r>
      <w:proofErr w:type="spellStart"/>
      <w:r w:rsidRPr="00F74548">
        <w:rPr>
          <w:color w:val="0F243E" w:themeColor="text2" w:themeShade="80"/>
          <w:sz w:val="24"/>
          <w:szCs w:val="24"/>
        </w:rPr>
        <w:t>eg</w:t>
      </w:r>
      <w:proofErr w:type="spellEnd"/>
      <w:r w:rsidRPr="00F74548">
        <w:rPr>
          <w:color w:val="0F243E" w:themeColor="text2" w:themeShade="80"/>
          <w:sz w:val="24"/>
          <w:szCs w:val="24"/>
        </w:rPr>
        <w:t>, operating machinery or driving).</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 Hypersensitivity reactions:</w:t>
      </w:r>
      <w:r w:rsidRPr="00F74548">
        <w:rPr>
          <w:color w:val="0F243E" w:themeColor="text2" w:themeShade="80"/>
          <w:sz w:val="24"/>
          <w:szCs w:val="24"/>
        </w:rPr>
        <w:t xml:space="preserve"> Severe hypersensitivity reactions, including anaphylaxis or </w:t>
      </w:r>
      <w:proofErr w:type="spellStart"/>
      <w:r w:rsidRPr="00F74548">
        <w:rPr>
          <w:color w:val="0F243E" w:themeColor="text2" w:themeShade="80"/>
          <w:sz w:val="24"/>
          <w:szCs w:val="24"/>
        </w:rPr>
        <w:t>anaphylactoid</w:t>
      </w:r>
      <w:proofErr w:type="spellEnd"/>
      <w:r w:rsidRPr="00F74548">
        <w:rPr>
          <w:color w:val="0F243E" w:themeColor="text2" w:themeShade="80"/>
          <w:sz w:val="24"/>
          <w:szCs w:val="24"/>
        </w:rPr>
        <w:t xml:space="preserve"> reaction have been reported. Discontinue use if serious reactions occur; do not reinitiate treatment.</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xml:space="preserve">• </w:t>
      </w:r>
      <w:r w:rsidRPr="00F74548">
        <w:rPr>
          <w:b/>
          <w:bCs/>
          <w:color w:val="0F243E" w:themeColor="text2" w:themeShade="80"/>
          <w:sz w:val="24"/>
          <w:szCs w:val="24"/>
        </w:rPr>
        <w:t>Ocular effects:</w:t>
      </w:r>
      <w:r w:rsidRPr="00F74548">
        <w:rPr>
          <w:color w:val="0F243E" w:themeColor="text2" w:themeShade="80"/>
          <w:sz w:val="24"/>
          <w:szCs w:val="24"/>
        </w:rPr>
        <w:t xml:space="preserve"> Visual defects (</w:t>
      </w:r>
      <w:proofErr w:type="spellStart"/>
      <w:r w:rsidRPr="00F74548">
        <w:rPr>
          <w:color w:val="0F243E" w:themeColor="text2" w:themeShade="80"/>
          <w:sz w:val="24"/>
          <w:szCs w:val="24"/>
        </w:rPr>
        <w:t>eg</w:t>
      </w:r>
      <w:proofErr w:type="spellEnd"/>
      <w:r w:rsidRPr="00F74548">
        <w:rPr>
          <w:color w:val="0F243E" w:themeColor="text2" w:themeShade="80"/>
          <w:sz w:val="24"/>
          <w:szCs w:val="24"/>
        </w:rPr>
        <w:t>, color vision change, visual loss) and retinal venous and arterial occlusions have been reported; discontinue treatment if ocular changes occur; prompt ophthalmic examination should be performed by an ophthalmologist. Ligneous conjunctivitis has been reported with the oral formulation but resolved upon discontinuation of therapy. Consider ophthalmic monitoring at regular intervals in patients on long-term therapy (&gt;3 months).</w:t>
      </w:r>
    </w:p>
    <w:p w:rsidR="008157A4" w:rsidRPr="00F74548" w:rsidRDefault="008157A4" w:rsidP="008157A4">
      <w:pPr>
        <w:rPr>
          <w:color w:val="0F243E" w:themeColor="text2" w:themeShade="80"/>
          <w:sz w:val="24"/>
          <w:szCs w:val="24"/>
        </w:rPr>
      </w:pPr>
      <w:r w:rsidRPr="00F74548">
        <w:rPr>
          <w:color w:val="0F243E" w:themeColor="text2" w:themeShade="80"/>
          <w:sz w:val="24"/>
          <w:szCs w:val="24"/>
        </w:rPr>
        <w:lastRenderedPageBreak/>
        <w:t>•</w:t>
      </w:r>
      <w:r w:rsidRPr="00F74548">
        <w:rPr>
          <w:b/>
          <w:bCs/>
          <w:color w:val="0F243E" w:themeColor="text2" w:themeShade="80"/>
          <w:sz w:val="24"/>
          <w:szCs w:val="24"/>
        </w:rPr>
        <w:t xml:space="preserve"> Seizure</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xml:space="preserve">• </w:t>
      </w:r>
      <w:r w:rsidRPr="00F74548">
        <w:rPr>
          <w:b/>
          <w:bCs/>
          <w:color w:val="0F243E" w:themeColor="text2" w:themeShade="80"/>
          <w:sz w:val="24"/>
          <w:szCs w:val="24"/>
        </w:rPr>
        <w:t>Thrombotic events:</w:t>
      </w:r>
      <w:r w:rsidRPr="00F74548">
        <w:rPr>
          <w:color w:val="0F243E" w:themeColor="text2" w:themeShade="80"/>
          <w:sz w:val="24"/>
          <w:szCs w:val="24"/>
        </w:rPr>
        <w:t xml:space="preserve"> Venous and arterial thrombosis or thromboembolism, including central retinal artery/vein obstruction, has been reported. Use the injection with caution in patients with thromboembolic disease; oral formulation is contraindicated in patients with a history of or active thromboembolic disease or with an intrinsic risk of thromboembolic events (</w:t>
      </w:r>
      <w:proofErr w:type="spellStart"/>
      <w:r w:rsidRPr="00F74548">
        <w:rPr>
          <w:color w:val="0F243E" w:themeColor="text2" w:themeShade="80"/>
          <w:sz w:val="24"/>
          <w:szCs w:val="24"/>
        </w:rPr>
        <w:t>eg</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thrombogenic</w:t>
      </w:r>
      <w:proofErr w:type="spellEnd"/>
      <w:r w:rsidRPr="00F74548">
        <w:rPr>
          <w:color w:val="0F243E" w:themeColor="text2" w:themeShade="80"/>
          <w:sz w:val="24"/>
          <w:szCs w:val="24"/>
        </w:rPr>
        <w:t xml:space="preserve"> </w:t>
      </w:r>
      <w:proofErr w:type="spellStart"/>
      <w:r w:rsidRPr="00F74548">
        <w:rPr>
          <w:color w:val="0F243E" w:themeColor="text2" w:themeShade="80"/>
          <w:sz w:val="24"/>
          <w:szCs w:val="24"/>
        </w:rPr>
        <w:t>valvular</w:t>
      </w:r>
      <w:proofErr w:type="spellEnd"/>
      <w:r w:rsidRPr="00F74548">
        <w:rPr>
          <w:color w:val="0F243E" w:themeColor="text2" w:themeShade="80"/>
          <w:sz w:val="24"/>
          <w:szCs w:val="24"/>
        </w:rPr>
        <w:t xml:space="preserve"> disease, </w:t>
      </w:r>
      <w:proofErr w:type="spellStart"/>
      <w:r w:rsidRPr="00F74548">
        <w:rPr>
          <w:color w:val="0F243E" w:themeColor="text2" w:themeShade="80"/>
          <w:sz w:val="24"/>
          <w:szCs w:val="24"/>
        </w:rPr>
        <w:t>thrombogenic</w:t>
      </w:r>
      <w:proofErr w:type="spellEnd"/>
      <w:r w:rsidRPr="00F74548">
        <w:rPr>
          <w:color w:val="0F243E" w:themeColor="text2" w:themeShade="80"/>
          <w:sz w:val="24"/>
          <w:szCs w:val="24"/>
        </w:rPr>
        <w:t xml:space="preserve"> cardiac rhythm disease, </w:t>
      </w:r>
      <w:proofErr w:type="spellStart"/>
      <w:r w:rsidRPr="00F74548">
        <w:rPr>
          <w:color w:val="0F243E" w:themeColor="text2" w:themeShade="80"/>
          <w:sz w:val="24"/>
          <w:szCs w:val="24"/>
        </w:rPr>
        <w:t>hypercoagulopathy</w:t>
      </w:r>
      <w:proofErr w:type="spellEnd"/>
      <w:r w:rsidRPr="00F74548">
        <w:rPr>
          <w:color w:val="0F243E" w:themeColor="text2" w:themeShade="80"/>
          <w:sz w:val="24"/>
          <w:szCs w:val="24"/>
        </w:rPr>
        <w:t xml:space="preserve">). Concomitant use with certain </w:t>
      </w:r>
      <w:proofErr w:type="spellStart"/>
      <w:r w:rsidRPr="00F74548">
        <w:rPr>
          <w:color w:val="0F243E" w:themeColor="text2" w:themeShade="80"/>
          <w:sz w:val="24"/>
          <w:szCs w:val="24"/>
        </w:rPr>
        <w:t>procoagulant</w:t>
      </w:r>
      <w:proofErr w:type="spellEnd"/>
      <w:r w:rsidRPr="00F74548">
        <w:rPr>
          <w:color w:val="0F243E" w:themeColor="text2" w:themeShade="80"/>
          <w:sz w:val="24"/>
          <w:szCs w:val="24"/>
        </w:rPr>
        <w:t xml:space="preserve"> agents (</w:t>
      </w:r>
      <w:proofErr w:type="spellStart"/>
      <w:r w:rsidRPr="00F74548">
        <w:rPr>
          <w:color w:val="0F243E" w:themeColor="text2" w:themeShade="80"/>
          <w:sz w:val="24"/>
          <w:szCs w:val="24"/>
        </w:rPr>
        <w:t>eg</w:t>
      </w:r>
      <w:proofErr w:type="spellEnd"/>
      <w:r w:rsidRPr="00F74548">
        <w:rPr>
          <w:color w:val="0F243E" w:themeColor="text2" w:themeShade="80"/>
          <w:sz w:val="24"/>
          <w:szCs w:val="24"/>
        </w:rPr>
        <w:t xml:space="preserve">, anti-inhibitor coagulant complex/factor IX complex concentrates, oral </w:t>
      </w:r>
      <w:proofErr w:type="spellStart"/>
      <w:r w:rsidRPr="00F74548">
        <w:rPr>
          <w:color w:val="0F243E" w:themeColor="text2" w:themeShade="80"/>
          <w:sz w:val="24"/>
          <w:szCs w:val="24"/>
        </w:rPr>
        <w:t>tretinoin</w:t>
      </w:r>
      <w:proofErr w:type="spellEnd"/>
      <w:r w:rsidRPr="00F74548">
        <w:rPr>
          <w:color w:val="0F243E" w:themeColor="text2" w:themeShade="80"/>
          <w:sz w:val="24"/>
          <w:szCs w:val="24"/>
        </w:rPr>
        <w:t>, hormonal contraceptives) may further increase the risk of thrombosis; concurrent use with either the oral or injectable formulation may be contraindicated, not recommended, or to be used with caution.</w:t>
      </w:r>
    </w:p>
    <w:p w:rsidR="008157A4" w:rsidRPr="00F74548" w:rsidRDefault="008157A4" w:rsidP="008157A4">
      <w:pPr>
        <w:rPr>
          <w:color w:val="0F243E" w:themeColor="text2" w:themeShade="80"/>
          <w:sz w:val="24"/>
          <w:szCs w:val="24"/>
        </w:rPr>
      </w:pPr>
      <w:r w:rsidRPr="00F74548">
        <w:rPr>
          <w:color w:val="0F243E" w:themeColor="text2" w:themeShade="80"/>
          <w:sz w:val="24"/>
          <w:szCs w:val="24"/>
        </w:rPr>
        <w:t>Disease-related concerns:</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xml:space="preserve">• Disseminated intravascular coagulation: Use with extreme caution in patients with disseminated intravascular coagulation requiring </w:t>
      </w:r>
      <w:proofErr w:type="spellStart"/>
      <w:r w:rsidRPr="00F74548">
        <w:rPr>
          <w:color w:val="0F243E" w:themeColor="text2" w:themeShade="80"/>
          <w:sz w:val="24"/>
          <w:szCs w:val="24"/>
        </w:rPr>
        <w:t>antifibrinolytic</w:t>
      </w:r>
      <w:proofErr w:type="spellEnd"/>
      <w:r w:rsidRPr="00F74548">
        <w:rPr>
          <w:color w:val="0F243E" w:themeColor="text2" w:themeShade="80"/>
          <w:sz w:val="24"/>
          <w:szCs w:val="24"/>
        </w:rPr>
        <w:t xml:space="preserve"> therapy; patients should be under strict supervision of a health care provider experienced in treating this disorder.</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Renal impairment: Use with caution in patients with renal impairment; dosage modification necessary.</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xml:space="preserve">• Subarachnoid hemorrhage: Use with caution in patients with subarachnoid hemorrhage (SAH); cerebral edema and infarction may occur. According to the manufacturer's labeling, use of the injection is contraindicated in patients with SAH; however, use has been described in the literature for aneurysmal SAH and is considered a reasonable treatment option in select patients </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Vascular disease: Use with caution in patients with uncorrected cardiovascular or cerebrovascular disease due to the complications of thrombosis.</w:t>
      </w:r>
    </w:p>
    <w:p w:rsidR="008157A4" w:rsidRPr="00F74548" w:rsidRDefault="008157A4" w:rsidP="008157A4">
      <w:pPr>
        <w:rPr>
          <w:b/>
          <w:bCs/>
          <w:color w:val="0F243E" w:themeColor="text2" w:themeShade="80"/>
          <w:sz w:val="24"/>
          <w:szCs w:val="24"/>
          <w:u w:val="single"/>
        </w:rPr>
      </w:pPr>
      <w:r w:rsidRPr="00F74548">
        <w:rPr>
          <w:b/>
          <w:bCs/>
          <w:color w:val="0F243E" w:themeColor="text2" w:themeShade="80"/>
          <w:sz w:val="24"/>
          <w:szCs w:val="24"/>
          <w:u w:val="single"/>
        </w:rPr>
        <w:t>Concurrent drug therapy issues:</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Drug-drug interactions: Potentially significant interactions may exist, requiring dose or frequency adjustment, additional monitoring, and/or selection of alternative therapy. Consult drug interactions database for more detailed information</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Reproductive Considerations</w:t>
      </w:r>
    </w:p>
    <w:p w:rsidR="008157A4" w:rsidRPr="00F74548" w:rsidRDefault="008157A4" w:rsidP="008157A4">
      <w:pPr>
        <w:rPr>
          <w:color w:val="0F243E" w:themeColor="text2" w:themeShade="80"/>
          <w:sz w:val="24"/>
          <w:szCs w:val="24"/>
        </w:rPr>
      </w:pP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an alternative agent for the treatment of heavy menstrual bleeding and one option for females who desire future </w:t>
      </w:r>
      <w:proofErr w:type="gramStart"/>
      <w:r w:rsidRPr="00F74548">
        <w:rPr>
          <w:color w:val="0F243E" w:themeColor="text2" w:themeShade="80"/>
          <w:sz w:val="24"/>
          <w:szCs w:val="24"/>
        </w:rPr>
        <w:t>fertility .</w:t>
      </w:r>
      <w:proofErr w:type="gramEnd"/>
      <w:r w:rsidRPr="00F74548">
        <w:rPr>
          <w:color w:val="0F243E" w:themeColor="text2" w:themeShade="80"/>
          <w:sz w:val="24"/>
          <w:szCs w:val="24"/>
        </w:rPr>
        <w:t xml:space="preserve"> The manufacturer recommends non-hormonal contraception during treatment, as hormonal contraceptives may increase the risk of thromboembolic events. However,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in combination with oral contraceptives </w:t>
      </w:r>
      <w:r w:rsidRPr="00F74548">
        <w:rPr>
          <w:color w:val="0F243E" w:themeColor="text2" w:themeShade="80"/>
          <w:sz w:val="24"/>
          <w:szCs w:val="24"/>
        </w:rPr>
        <w:lastRenderedPageBreak/>
        <w:t xml:space="preserve">may be considered for the treatment of heavy menstrual bleeding when </w:t>
      </w:r>
      <w:proofErr w:type="spellStart"/>
      <w:r w:rsidRPr="00F74548">
        <w:rPr>
          <w:color w:val="0F243E" w:themeColor="text2" w:themeShade="80"/>
          <w:sz w:val="24"/>
          <w:szCs w:val="24"/>
        </w:rPr>
        <w:t>monotherapy</w:t>
      </w:r>
      <w:proofErr w:type="spellEnd"/>
      <w:r w:rsidRPr="00F74548">
        <w:rPr>
          <w:color w:val="0F243E" w:themeColor="text2" w:themeShade="80"/>
          <w:sz w:val="24"/>
          <w:szCs w:val="24"/>
        </w:rPr>
        <w:t xml:space="preserve"> is ineffective and other treatment options have failed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Pregnancy Considerations</w:t>
      </w:r>
    </w:p>
    <w:p w:rsidR="008157A4" w:rsidRPr="00F74548" w:rsidRDefault="008157A4" w:rsidP="008157A4">
      <w:pPr>
        <w:pStyle w:val="ListParagraph"/>
        <w:numPr>
          <w:ilvl w:val="0"/>
          <w:numId w:val="3"/>
        </w:numPr>
        <w:rPr>
          <w:color w:val="0F243E" w:themeColor="text2" w:themeShade="80"/>
          <w:sz w:val="24"/>
          <w:szCs w:val="24"/>
        </w:rPr>
      </w:pP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crosses the placenta; concentrations within cord blood are similar to maternal serum.</w:t>
      </w:r>
    </w:p>
    <w:p w:rsidR="008157A4" w:rsidRPr="00F74548" w:rsidRDefault="008157A4" w:rsidP="008157A4">
      <w:pPr>
        <w:pStyle w:val="ListParagraph"/>
        <w:numPr>
          <w:ilvl w:val="0"/>
          <w:numId w:val="3"/>
        </w:numPr>
        <w:rPr>
          <w:color w:val="0F243E" w:themeColor="text2" w:themeShade="80"/>
          <w:sz w:val="24"/>
          <w:szCs w:val="24"/>
        </w:rPr>
      </w:pPr>
      <w:r w:rsidRPr="00F74548">
        <w:rPr>
          <w:color w:val="0F243E" w:themeColor="text2" w:themeShade="80"/>
          <w:sz w:val="24"/>
          <w:szCs w:val="24"/>
        </w:rPr>
        <w:t xml:space="preserve">Oral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used off label for the long-term prophylaxis of hereditary angioedema (HAE) and use for this indication in pregnant females has been reported.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may be considered for long-term prophylaxis of HAE during pregnancy when preferred treatment is not available </w:t>
      </w:r>
    </w:p>
    <w:p w:rsidR="008157A4" w:rsidRPr="00F74548" w:rsidRDefault="008157A4" w:rsidP="008157A4">
      <w:pPr>
        <w:pStyle w:val="ListParagraph"/>
        <w:numPr>
          <w:ilvl w:val="0"/>
          <w:numId w:val="3"/>
        </w:numPr>
        <w:rPr>
          <w:color w:val="0F243E" w:themeColor="text2" w:themeShade="80"/>
          <w:sz w:val="24"/>
          <w:szCs w:val="24"/>
        </w:rPr>
      </w:pPr>
      <w:r w:rsidRPr="00F74548">
        <w:rPr>
          <w:color w:val="0F243E" w:themeColor="text2" w:themeShade="80"/>
          <w:sz w:val="24"/>
          <w:szCs w:val="24"/>
        </w:rPr>
        <w:t xml:space="preserve">IV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used off label for the treatment of postpartum hemorrhage </w:t>
      </w:r>
      <w:proofErr w:type="gramStart"/>
      <w:r w:rsidRPr="00F74548">
        <w:rPr>
          <w:color w:val="0F243E" w:themeColor="text2" w:themeShade="80"/>
          <w:sz w:val="24"/>
          <w:szCs w:val="24"/>
        </w:rPr>
        <w:t>A</w:t>
      </w:r>
      <w:proofErr w:type="gramEnd"/>
      <w:r w:rsidRPr="00F74548">
        <w:rPr>
          <w:color w:val="0F243E" w:themeColor="text2" w:themeShade="80"/>
          <w:sz w:val="24"/>
          <w:szCs w:val="24"/>
        </w:rPr>
        <w:t xml:space="preserve"> significant reduction in risk of death due to bleeding was observed when treatment was started within 3 hours of vaginal birth or cesarean section (WOMAN Trial Collaborators 2017).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recommended for the treatment of obstetric hemorrhage when initial therapy fails (ACOG 183 2017; WHO 2017).</w:t>
      </w:r>
    </w:p>
    <w:p w:rsidR="008157A4" w:rsidRPr="00F74548" w:rsidRDefault="008157A4" w:rsidP="008157A4">
      <w:pPr>
        <w:pStyle w:val="ListParagraph"/>
        <w:numPr>
          <w:ilvl w:val="0"/>
          <w:numId w:val="3"/>
        </w:numPr>
        <w:rPr>
          <w:color w:val="0F243E" w:themeColor="text2" w:themeShade="80"/>
          <w:sz w:val="24"/>
          <w:szCs w:val="24"/>
        </w:rPr>
      </w:pPr>
      <w:r w:rsidRPr="00F74548">
        <w:rPr>
          <w:color w:val="0F243E" w:themeColor="text2" w:themeShade="80"/>
          <w:sz w:val="24"/>
          <w:szCs w:val="24"/>
        </w:rPr>
        <w:t xml:space="preserve">IV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has also been studied for prophylaxis of postpartum hemorrhage in females prior to vaginal or cesarean delivery (</w:t>
      </w:r>
      <w:proofErr w:type="spellStart"/>
      <w:r w:rsidRPr="00F74548">
        <w:rPr>
          <w:color w:val="0F243E" w:themeColor="text2" w:themeShade="80"/>
          <w:sz w:val="24"/>
          <w:szCs w:val="24"/>
        </w:rPr>
        <w:t>Novikova</w:t>
      </w:r>
      <w:proofErr w:type="spellEnd"/>
      <w:r w:rsidRPr="00F74548">
        <w:rPr>
          <w:color w:val="0F243E" w:themeColor="text2" w:themeShade="80"/>
          <w:sz w:val="24"/>
          <w:szCs w:val="24"/>
        </w:rPr>
        <w:t xml:space="preserve"> 2015; </w:t>
      </w:r>
      <w:proofErr w:type="spellStart"/>
      <w:r w:rsidRPr="00F74548">
        <w:rPr>
          <w:color w:val="0F243E" w:themeColor="text2" w:themeShade="80"/>
          <w:sz w:val="24"/>
          <w:szCs w:val="24"/>
        </w:rPr>
        <w:t>Saccone</w:t>
      </w:r>
      <w:proofErr w:type="spellEnd"/>
      <w:r w:rsidRPr="00F74548">
        <w:rPr>
          <w:color w:val="0F243E" w:themeColor="text2" w:themeShade="80"/>
          <w:sz w:val="24"/>
          <w:szCs w:val="24"/>
        </w:rPr>
        <w:t xml:space="preserve"> 2019; </w:t>
      </w:r>
      <w:proofErr w:type="spellStart"/>
      <w:r w:rsidRPr="00F74548">
        <w:rPr>
          <w:color w:val="0F243E" w:themeColor="text2" w:themeShade="80"/>
          <w:sz w:val="24"/>
          <w:szCs w:val="24"/>
        </w:rPr>
        <w:t>Sentilhes</w:t>
      </w:r>
      <w:proofErr w:type="spellEnd"/>
      <w:r w:rsidRPr="00F74548">
        <w:rPr>
          <w:color w:val="0F243E" w:themeColor="text2" w:themeShade="80"/>
          <w:sz w:val="24"/>
          <w:szCs w:val="24"/>
        </w:rPr>
        <w:t xml:space="preserve"> 2018; </w:t>
      </w:r>
      <w:proofErr w:type="spellStart"/>
      <w:r w:rsidRPr="00F74548">
        <w:rPr>
          <w:color w:val="0F243E" w:themeColor="text2" w:themeShade="80"/>
          <w:sz w:val="24"/>
          <w:szCs w:val="24"/>
        </w:rPr>
        <w:t>Simonazzi</w:t>
      </w:r>
      <w:proofErr w:type="spellEnd"/>
      <w:r w:rsidRPr="00F74548">
        <w:rPr>
          <w:color w:val="0F243E" w:themeColor="text2" w:themeShade="80"/>
          <w:sz w:val="24"/>
          <w:szCs w:val="24"/>
        </w:rPr>
        <w:t xml:space="preserve"> 2016; Xia 2020).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may be considered as adjunctive therapy in women at high risk for postpartum hemorrhage. However, available data related to prophylactic use is insufficient and use for routine prophylaxis against postpartum hemorrhage is not currently recommended outside of the context of clinical research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Breast-Feeding Considerations</w:t>
      </w:r>
    </w:p>
    <w:p w:rsidR="008157A4" w:rsidRPr="00F74548" w:rsidRDefault="008157A4" w:rsidP="008157A4">
      <w:pPr>
        <w:pStyle w:val="ListParagraph"/>
        <w:numPr>
          <w:ilvl w:val="0"/>
          <w:numId w:val="4"/>
        </w:numPr>
        <w:rPr>
          <w:color w:val="0F243E" w:themeColor="text2" w:themeShade="80"/>
          <w:sz w:val="24"/>
          <w:szCs w:val="24"/>
        </w:rPr>
      </w:pP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is present in breast milk.</w:t>
      </w:r>
    </w:p>
    <w:p w:rsidR="008157A4" w:rsidRPr="00F74548" w:rsidRDefault="008157A4" w:rsidP="008157A4">
      <w:pPr>
        <w:pStyle w:val="ListParagraph"/>
        <w:numPr>
          <w:ilvl w:val="0"/>
          <w:numId w:val="4"/>
        </w:numPr>
        <w:rPr>
          <w:color w:val="0F243E" w:themeColor="text2" w:themeShade="80"/>
          <w:sz w:val="24"/>
          <w:szCs w:val="24"/>
        </w:rPr>
      </w:pPr>
      <w:r w:rsidRPr="00F74548">
        <w:rPr>
          <w:color w:val="0F243E" w:themeColor="text2" w:themeShade="80"/>
          <w:sz w:val="24"/>
          <w:szCs w:val="24"/>
        </w:rPr>
        <w:t xml:space="preserve">Although other agents are preferred, breastfeeding is considered acceptable during use of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for prophylaxis of hereditary angioedema</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Drug Interactions: Avoid Concomitant Use</w:t>
      </w:r>
    </w:p>
    <w:p w:rsidR="008157A4" w:rsidRPr="00F74548" w:rsidRDefault="008157A4" w:rsidP="008157A4">
      <w:pPr>
        <w:pStyle w:val="ListParagraph"/>
        <w:numPr>
          <w:ilvl w:val="0"/>
          <w:numId w:val="5"/>
        </w:numPr>
        <w:rPr>
          <w:color w:val="0F243E" w:themeColor="text2" w:themeShade="80"/>
          <w:sz w:val="24"/>
          <w:szCs w:val="24"/>
        </w:rPr>
      </w:pPr>
      <w:r w:rsidRPr="00F74548">
        <w:rPr>
          <w:color w:val="0F243E" w:themeColor="text2" w:themeShade="80"/>
          <w:sz w:val="24"/>
          <w:szCs w:val="24"/>
        </w:rPr>
        <w:t xml:space="preserve">Avoid concomitant use of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with any of the following: Anti-inhibitor Coagulant Complex (Human); Estrogen Derivatives (Contraceptive); Factor IX Complex (Human) [(Factors II, IX, X)]; </w:t>
      </w:r>
      <w:proofErr w:type="spellStart"/>
      <w:r w:rsidRPr="00F74548">
        <w:rPr>
          <w:color w:val="0F243E" w:themeColor="text2" w:themeShade="80"/>
          <w:sz w:val="24"/>
          <w:szCs w:val="24"/>
        </w:rPr>
        <w:t>Progestins</w:t>
      </w:r>
      <w:proofErr w:type="spellEnd"/>
      <w:r w:rsidRPr="00F74548">
        <w:rPr>
          <w:color w:val="0F243E" w:themeColor="text2" w:themeShade="80"/>
          <w:sz w:val="24"/>
          <w:szCs w:val="24"/>
        </w:rPr>
        <w:t xml:space="preserve"> (Contraceptive); </w:t>
      </w:r>
      <w:proofErr w:type="spellStart"/>
      <w:r w:rsidRPr="00F74548">
        <w:rPr>
          <w:color w:val="0F243E" w:themeColor="text2" w:themeShade="80"/>
          <w:sz w:val="24"/>
          <w:szCs w:val="24"/>
        </w:rPr>
        <w:t>Prothrombin</w:t>
      </w:r>
      <w:proofErr w:type="spellEnd"/>
      <w:r w:rsidRPr="00F74548">
        <w:rPr>
          <w:color w:val="0F243E" w:themeColor="text2" w:themeShade="80"/>
          <w:sz w:val="24"/>
          <w:szCs w:val="24"/>
        </w:rPr>
        <w:t xml:space="preserve"> Complex Concentrate (Human) [(Factors II, VII, IX, X), Protein C, and Protein S]</w:t>
      </w:r>
    </w:p>
    <w:p w:rsidR="008157A4" w:rsidRPr="00F74548" w:rsidRDefault="008157A4" w:rsidP="008157A4">
      <w:pPr>
        <w:pStyle w:val="ListParagraph"/>
        <w:numPr>
          <w:ilvl w:val="0"/>
          <w:numId w:val="5"/>
        </w:numPr>
        <w:rPr>
          <w:color w:val="0F243E" w:themeColor="text2" w:themeShade="80"/>
          <w:sz w:val="24"/>
          <w:szCs w:val="24"/>
        </w:rPr>
      </w:pPr>
      <w:r w:rsidRPr="00F74548">
        <w:rPr>
          <w:color w:val="0F243E" w:themeColor="text2" w:themeShade="80"/>
          <w:sz w:val="24"/>
          <w:szCs w:val="24"/>
        </w:rPr>
        <w:t>Drug Interactions: Decreased Effect</w:t>
      </w:r>
    </w:p>
    <w:p w:rsidR="008157A4" w:rsidRPr="00F74548" w:rsidRDefault="008157A4" w:rsidP="008157A4">
      <w:pPr>
        <w:pStyle w:val="ListParagraph"/>
        <w:numPr>
          <w:ilvl w:val="0"/>
          <w:numId w:val="5"/>
        </w:numPr>
        <w:rPr>
          <w:color w:val="0F243E" w:themeColor="text2" w:themeShade="80"/>
          <w:sz w:val="24"/>
          <w:szCs w:val="24"/>
        </w:rPr>
      </w:pPr>
      <w:r w:rsidRPr="00F74548">
        <w:rPr>
          <w:color w:val="0F243E" w:themeColor="text2" w:themeShade="80"/>
          <w:sz w:val="24"/>
          <w:szCs w:val="24"/>
        </w:rPr>
        <w:t>There are no known significant interactions involving a decrease in effect.</w:t>
      </w:r>
    </w:p>
    <w:p w:rsidR="008157A4" w:rsidRPr="00F74548" w:rsidRDefault="008157A4" w:rsidP="008157A4">
      <w:pPr>
        <w:pStyle w:val="ListParagraph"/>
        <w:numPr>
          <w:ilvl w:val="0"/>
          <w:numId w:val="5"/>
        </w:numPr>
        <w:rPr>
          <w:color w:val="0F243E" w:themeColor="text2" w:themeShade="80"/>
          <w:sz w:val="24"/>
          <w:szCs w:val="24"/>
        </w:rPr>
      </w:pPr>
      <w:r w:rsidRPr="00F74548">
        <w:rPr>
          <w:color w:val="0F243E" w:themeColor="text2" w:themeShade="80"/>
          <w:sz w:val="24"/>
          <w:szCs w:val="24"/>
        </w:rPr>
        <w:t>Drug Interactions: Increased Effect/Toxicity</w:t>
      </w:r>
    </w:p>
    <w:p w:rsidR="008157A4" w:rsidRPr="00F74548" w:rsidRDefault="008157A4" w:rsidP="008157A4">
      <w:pPr>
        <w:rPr>
          <w:b/>
          <w:bCs/>
          <w:color w:val="0F243E" w:themeColor="text2" w:themeShade="80"/>
          <w:sz w:val="24"/>
          <w:szCs w:val="24"/>
        </w:rPr>
      </w:pPr>
      <w:proofErr w:type="spellStart"/>
      <w:r w:rsidRPr="00F74548">
        <w:rPr>
          <w:b/>
          <w:bCs/>
          <w:color w:val="0F243E" w:themeColor="text2" w:themeShade="80"/>
          <w:sz w:val="24"/>
          <w:szCs w:val="24"/>
        </w:rPr>
        <w:lastRenderedPageBreak/>
        <w:t>Tranexamic</w:t>
      </w:r>
      <w:proofErr w:type="spellEnd"/>
      <w:r w:rsidRPr="00F74548">
        <w:rPr>
          <w:b/>
          <w:bCs/>
          <w:color w:val="0F243E" w:themeColor="text2" w:themeShade="80"/>
          <w:sz w:val="24"/>
          <w:szCs w:val="24"/>
        </w:rPr>
        <w:t xml:space="preserve"> Acid may increase the levels/effects of: Anti-inhibitor Coagulant Complex (Human); Factor IX Complex (Human) [(Factors II, IX, X)]; </w:t>
      </w:r>
      <w:proofErr w:type="spellStart"/>
      <w:r w:rsidRPr="00F74548">
        <w:rPr>
          <w:b/>
          <w:bCs/>
          <w:color w:val="0F243E" w:themeColor="text2" w:themeShade="80"/>
          <w:sz w:val="24"/>
          <w:szCs w:val="24"/>
        </w:rPr>
        <w:t>Prothrombin</w:t>
      </w:r>
      <w:proofErr w:type="spellEnd"/>
      <w:r w:rsidRPr="00F74548">
        <w:rPr>
          <w:b/>
          <w:bCs/>
          <w:color w:val="0F243E" w:themeColor="text2" w:themeShade="80"/>
          <w:sz w:val="24"/>
          <w:szCs w:val="24"/>
        </w:rPr>
        <w:t xml:space="preserve"> Complex Concentrate (Human) [(Factors II, VII, IX, X), Protein C, and Protein 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 xml:space="preserve">The levels/effects of </w:t>
      </w:r>
      <w:proofErr w:type="spellStart"/>
      <w:r w:rsidRPr="00F74548">
        <w:rPr>
          <w:b/>
          <w:bCs/>
          <w:color w:val="0F243E" w:themeColor="text2" w:themeShade="80"/>
          <w:sz w:val="24"/>
          <w:szCs w:val="24"/>
        </w:rPr>
        <w:t>Tranexamic</w:t>
      </w:r>
      <w:proofErr w:type="spellEnd"/>
      <w:r w:rsidRPr="00F74548">
        <w:rPr>
          <w:b/>
          <w:bCs/>
          <w:color w:val="0F243E" w:themeColor="text2" w:themeShade="80"/>
          <w:sz w:val="24"/>
          <w:szCs w:val="24"/>
        </w:rPr>
        <w:t xml:space="preserve"> Acid may be increased by: Estrogen Derivatives (Contraceptive); </w:t>
      </w:r>
      <w:proofErr w:type="spellStart"/>
      <w:r w:rsidRPr="00F74548">
        <w:rPr>
          <w:b/>
          <w:bCs/>
          <w:color w:val="0F243E" w:themeColor="text2" w:themeShade="80"/>
          <w:sz w:val="24"/>
          <w:szCs w:val="24"/>
        </w:rPr>
        <w:t>Progestins</w:t>
      </w:r>
      <w:proofErr w:type="spellEnd"/>
      <w:r w:rsidRPr="00F74548">
        <w:rPr>
          <w:b/>
          <w:bCs/>
          <w:color w:val="0F243E" w:themeColor="text2" w:themeShade="80"/>
          <w:sz w:val="24"/>
          <w:szCs w:val="24"/>
        </w:rPr>
        <w:t xml:space="preserve"> (Contraceptive); </w:t>
      </w:r>
      <w:proofErr w:type="spellStart"/>
      <w:r w:rsidRPr="00F74548">
        <w:rPr>
          <w:b/>
          <w:bCs/>
          <w:color w:val="0F243E" w:themeColor="text2" w:themeShade="80"/>
          <w:sz w:val="24"/>
          <w:szCs w:val="24"/>
        </w:rPr>
        <w:t>Tretinoin</w:t>
      </w:r>
      <w:proofErr w:type="spellEnd"/>
      <w:r w:rsidRPr="00F74548">
        <w:rPr>
          <w:b/>
          <w:bCs/>
          <w:color w:val="0F243E" w:themeColor="text2" w:themeShade="80"/>
          <w:sz w:val="24"/>
          <w:szCs w:val="24"/>
        </w:rPr>
        <w:t xml:space="preserve"> (Systemic)</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Monitoring Parameters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Ophthalmic examination (visual acuity, optical coherence tomography) at regular intervals if on long-term therapy (&gt;3 months); signs/symptoms of hypersensitivity reactions, seizures, and thrombotic events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Dosing: Adult</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 xml:space="preserve">The adult dosing recommendations are based upon the best available evidence and clinical expertise.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Note: Safety: Higher total IV doses (</w:t>
      </w:r>
      <w:proofErr w:type="spellStart"/>
      <w:r w:rsidRPr="00F74548">
        <w:rPr>
          <w:b/>
          <w:bCs/>
          <w:color w:val="0F243E" w:themeColor="text2" w:themeShade="80"/>
          <w:sz w:val="24"/>
          <w:szCs w:val="24"/>
        </w:rPr>
        <w:t>eg</w:t>
      </w:r>
      <w:proofErr w:type="spellEnd"/>
      <w:r w:rsidRPr="00F74548">
        <w:rPr>
          <w:b/>
          <w:bCs/>
          <w:color w:val="0F243E" w:themeColor="text2" w:themeShade="80"/>
          <w:sz w:val="24"/>
          <w:szCs w:val="24"/>
        </w:rPr>
        <w:t xml:space="preserve">, ≥50 mg/kg), such as those given </w:t>
      </w:r>
      <w:proofErr w:type="spellStart"/>
      <w:r w:rsidRPr="00F74548">
        <w:rPr>
          <w:b/>
          <w:bCs/>
          <w:color w:val="0F243E" w:themeColor="text2" w:themeShade="80"/>
          <w:sz w:val="24"/>
          <w:szCs w:val="24"/>
        </w:rPr>
        <w:t>perioperatively</w:t>
      </w:r>
      <w:proofErr w:type="spellEnd"/>
      <w:r w:rsidRPr="00F74548">
        <w:rPr>
          <w:b/>
          <w:bCs/>
          <w:color w:val="0F243E" w:themeColor="text2" w:themeShade="80"/>
          <w:sz w:val="24"/>
          <w:szCs w:val="24"/>
        </w:rPr>
        <w:t>, may be associated with an increased risk of seizures; lower doses (</w:t>
      </w:r>
      <w:proofErr w:type="spellStart"/>
      <w:r w:rsidRPr="00F74548">
        <w:rPr>
          <w:b/>
          <w:bCs/>
          <w:color w:val="0F243E" w:themeColor="text2" w:themeShade="80"/>
          <w:sz w:val="24"/>
          <w:szCs w:val="24"/>
        </w:rPr>
        <w:t>eg</w:t>
      </w:r>
      <w:proofErr w:type="spellEnd"/>
      <w:r w:rsidRPr="00F74548">
        <w:rPr>
          <w:b/>
          <w:bCs/>
          <w:color w:val="0F243E" w:themeColor="text2" w:themeShade="80"/>
          <w:sz w:val="24"/>
          <w:szCs w:val="24"/>
        </w:rPr>
        <w:t xml:space="preserve">, 1 or 2 g given in the first 8 hours of trauma) do not appear to increase the risk of seizure or venous thromboembolism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Hemoptysis (</w:t>
      </w:r>
      <w:proofErr w:type="spellStart"/>
      <w:r w:rsidRPr="00F74548">
        <w:rPr>
          <w:b/>
          <w:bCs/>
          <w:color w:val="0F243E" w:themeColor="text2" w:themeShade="80"/>
          <w:sz w:val="24"/>
          <w:szCs w:val="24"/>
        </w:rPr>
        <w:t>nonmassive</w:t>
      </w:r>
      <w:proofErr w:type="spellEnd"/>
      <w:r w:rsidRPr="00F74548">
        <w:rPr>
          <w:b/>
          <w:bCs/>
          <w:color w:val="0F243E" w:themeColor="text2" w:themeShade="80"/>
          <w:sz w:val="24"/>
          <w:szCs w:val="24"/>
        </w:rPr>
        <w:t>), treatment (off-label use):</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Inhalation for nebulization</w:t>
      </w:r>
      <w:r w:rsidRPr="00F74548">
        <w:rPr>
          <w:color w:val="0F243E" w:themeColor="text2" w:themeShade="80"/>
          <w:sz w:val="24"/>
          <w:szCs w:val="24"/>
        </w:rPr>
        <w:t xml:space="preserve">: 500 mg (using injectable solution) 3 times daily for up to 5 days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Hereditary angioedema, long-term prophylaxis (alternative agent) (off-label use):</w:t>
      </w:r>
    </w:p>
    <w:p w:rsidR="008157A4" w:rsidRPr="00F74548" w:rsidRDefault="008157A4" w:rsidP="008157A4">
      <w:pPr>
        <w:rPr>
          <w:color w:val="0F243E" w:themeColor="text2" w:themeShade="80"/>
          <w:sz w:val="24"/>
          <w:szCs w:val="24"/>
        </w:rPr>
      </w:pPr>
      <w:r w:rsidRPr="00F74548">
        <w:rPr>
          <w:color w:val="0F243E" w:themeColor="text2" w:themeShade="80"/>
          <w:sz w:val="24"/>
          <w:szCs w:val="24"/>
        </w:rPr>
        <w:t>Note: May be used when other agents (</w:t>
      </w:r>
      <w:proofErr w:type="spellStart"/>
      <w:r w:rsidRPr="00F74548">
        <w:rPr>
          <w:color w:val="0F243E" w:themeColor="text2" w:themeShade="80"/>
          <w:sz w:val="24"/>
          <w:szCs w:val="24"/>
        </w:rPr>
        <w:t>eg</w:t>
      </w:r>
      <w:proofErr w:type="spellEnd"/>
      <w:r w:rsidRPr="00F74548">
        <w:rPr>
          <w:color w:val="0F243E" w:themeColor="text2" w:themeShade="80"/>
          <w:sz w:val="24"/>
          <w:szCs w:val="24"/>
        </w:rPr>
        <w:t xml:space="preserve">, C1-inhibitor, androgens) are not available or contraindicated </w:t>
      </w:r>
      <w:proofErr w:type="gramStart"/>
      <w:r w:rsidRPr="00F74548">
        <w:rPr>
          <w:color w:val="0F243E" w:themeColor="text2" w:themeShade="80"/>
          <w:sz w:val="24"/>
          <w:szCs w:val="24"/>
        </w:rPr>
        <w:t>The</w:t>
      </w:r>
      <w:proofErr w:type="gramEnd"/>
      <w:r w:rsidRPr="00F74548">
        <w:rPr>
          <w:color w:val="0F243E" w:themeColor="text2" w:themeShade="80"/>
          <w:sz w:val="24"/>
          <w:szCs w:val="24"/>
        </w:rPr>
        <w:t xml:space="preserve"> recommended dosage range is based on use of 500 mg tablets available internationally, but not in the United States.</w:t>
      </w:r>
    </w:p>
    <w:p w:rsidR="008157A4" w:rsidRPr="00F74548" w:rsidRDefault="008157A4" w:rsidP="008157A4">
      <w:pPr>
        <w:rPr>
          <w:color w:val="0F243E" w:themeColor="text2" w:themeShade="80"/>
          <w:sz w:val="24"/>
          <w:szCs w:val="24"/>
        </w:rPr>
      </w:pPr>
      <w:r w:rsidRPr="00F74548">
        <w:rPr>
          <w:color w:val="0F243E" w:themeColor="text2" w:themeShade="80"/>
          <w:sz w:val="24"/>
          <w:szCs w:val="24"/>
        </w:rPr>
        <w:t>Oral: Initial: 1 to 1.5 g two to three times daily; reduce to 500 mg once or twice daily when frequency of attacks decreases (</w:t>
      </w:r>
      <w:proofErr w:type="spellStart"/>
      <w:r w:rsidRPr="00F74548">
        <w:rPr>
          <w:color w:val="0F243E" w:themeColor="text2" w:themeShade="80"/>
          <w:sz w:val="24"/>
          <w:szCs w:val="24"/>
        </w:rPr>
        <w:t>Gompels</w:t>
      </w:r>
      <w:proofErr w:type="spellEnd"/>
      <w:r w:rsidRPr="00F74548">
        <w:rPr>
          <w:color w:val="0F243E" w:themeColor="text2" w:themeShade="80"/>
          <w:sz w:val="24"/>
          <w:szCs w:val="24"/>
        </w:rPr>
        <w:t xml:space="preserve"> 2005; Levy 2010); maximum total daily dose: 4 to 6 g/day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Hereditary hemorrhagic telangiectasia, epistaxis or other bleeding sites (alternative agent) (off-label use):</w:t>
      </w:r>
    </w:p>
    <w:p w:rsidR="008157A4" w:rsidRPr="00F74548" w:rsidRDefault="008157A4" w:rsidP="008157A4">
      <w:pPr>
        <w:rPr>
          <w:color w:val="0F243E" w:themeColor="text2" w:themeShade="80"/>
          <w:sz w:val="24"/>
          <w:szCs w:val="24"/>
        </w:rPr>
      </w:pPr>
      <w:r w:rsidRPr="00F74548">
        <w:rPr>
          <w:color w:val="0F243E" w:themeColor="text2" w:themeShade="80"/>
          <w:sz w:val="24"/>
          <w:szCs w:val="24"/>
        </w:rPr>
        <w:t>Note: May be used in carefully selected patients in whom local therapy and other management options are insufficient. The recommended dosage range is based on use of 500 mg tablets available internationally, but not in the United States.</w:t>
      </w:r>
    </w:p>
    <w:p w:rsidR="008157A4" w:rsidRPr="00F74548" w:rsidRDefault="008157A4" w:rsidP="008157A4">
      <w:pPr>
        <w:rPr>
          <w:color w:val="0F243E" w:themeColor="text2" w:themeShade="80"/>
          <w:sz w:val="24"/>
          <w:szCs w:val="24"/>
        </w:rPr>
      </w:pPr>
      <w:r w:rsidRPr="00F74548">
        <w:rPr>
          <w:color w:val="0F243E" w:themeColor="text2" w:themeShade="80"/>
          <w:sz w:val="24"/>
          <w:szCs w:val="24"/>
        </w:rPr>
        <w:lastRenderedPageBreak/>
        <w:t xml:space="preserve">Oral: Initial: 1.5 g twice daily or 1 g three times daily for 4 to 10 days; adjust dose as needed based on response and tolerability to a usual daily dose of 2 to 4.5 g in 2 or 3 divided doses </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Menstrual bleeding, heavy (alternative agent):</w:t>
      </w:r>
    </w:p>
    <w:p w:rsidR="008157A4" w:rsidRPr="00F74548" w:rsidRDefault="008157A4" w:rsidP="008157A4">
      <w:pPr>
        <w:rPr>
          <w:color w:val="0F243E" w:themeColor="text2" w:themeShade="80"/>
          <w:sz w:val="24"/>
          <w:szCs w:val="24"/>
        </w:rPr>
      </w:pPr>
      <w:r w:rsidRPr="00F74548">
        <w:rPr>
          <w:color w:val="0F243E" w:themeColor="text2" w:themeShade="80"/>
          <w:sz w:val="24"/>
          <w:szCs w:val="24"/>
        </w:rPr>
        <w:t>Note: Consider for use in women who decline or should not use hormonal therapy. Start once heavy menstrual bleeding has begun.</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Oral:</w:t>
      </w:r>
    </w:p>
    <w:p w:rsidR="008157A4" w:rsidRPr="00F74548" w:rsidRDefault="008157A4" w:rsidP="008157A4">
      <w:pPr>
        <w:rPr>
          <w:b/>
          <w:bCs/>
          <w:color w:val="0F243E" w:themeColor="text2" w:themeShade="80"/>
          <w:sz w:val="24"/>
          <w:szCs w:val="24"/>
        </w:rPr>
      </w:pPr>
      <w:proofErr w:type="spellStart"/>
      <w:r w:rsidRPr="00F74548">
        <w:rPr>
          <w:b/>
          <w:bCs/>
          <w:color w:val="0F243E" w:themeColor="text2" w:themeShade="80"/>
          <w:sz w:val="24"/>
          <w:szCs w:val="24"/>
        </w:rPr>
        <w:t>Lysteda</w:t>
      </w:r>
      <w:proofErr w:type="spellEnd"/>
      <w:r w:rsidRPr="00F74548">
        <w:rPr>
          <w:b/>
          <w:bCs/>
          <w:color w:val="0F243E" w:themeColor="text2" w:themeShade="80"/>
          <w:sz w:val="24"/>
          <w:szCs w:val="24"/>
        </w:rPr>
        <w:t>: 1.3 g three times daily for up to 5 days during monthly menstruation.</w:t>
      </w:r>
    </w:p>
    <w:p w:rsidR="008157A4" w:rsidRPr="00F74548" w:rsidRDefault="008157A4" w:rsidP="008157A4">
      <w:pPr>
        <w:rPr>
          <w:b/>
          <w:bCs/>
          <w:color w:val="0F243E" w:themeColor="text2" w:themeShade="80"/>
          <w:sz w:val="24"/>
          <w:szCs w:val="24"/>
        </w:rPr>
      </w:pPr>
      <w:proofErr w:type="spellStart"/>
      <w:r w:rsidRPr="00F74548">
        <w:rPr>
          <w:b/>
          <w:bCs/>
          <w:color w:val="0F243E" w:themeColor="text2" w:themeShade="80"/>
          <w:sz w:val="24"/>
          <w:szCs w:val="24"/>
        </w:rPr>
        <w:t>Cyklokapron</w:t>
      </w:r>
      <w:proofErr w:type="spellEnd"/>
      <w:r w:rsidRPr="00F74548">
        <w:rPr>
          <w:b/>
          <w:bCs/>
          <w:color w:val="0F243E" w:themeColor="text2" w:themeShade="80"/>
          <w:sz w:val="24"/>
          <w:szCs w:val="24"/>
        </w:rPr>
        <w:t xml:space="preserve"> [Canadian product]: 1 to 1.5 g three to four times daily for several days during menstruation.</w:t>
      </w:r>
    </w:p>
    <w:p w:rsidR="008157A4" w:rsidRPr="00F74548" w:rsidRDefault="008157A4" w:rsidP="008157A4">
      <w:pPr>
        <w:rPr>
          <w:color w:val="0F243E" w:themeColor="text2" w:themeShade="80"/>
          <w:sz w:val="24"/>
          <w:szCs w:val="24"/>
        </w:rPr>
      </w:pPr>
      <w:r w:rsidRPr="00F74548">
        <w:rPr>
          <w:b/>
          <w:bCs/>
          <w:color w:val="0F243E" w:themeColor="text2" w:themeShade="80"/>
          <w:sz w:val="24"/>
          <w:szCs w:val="24"/>
        </w:rPr>
        <w:t>Tooth extraction in patients with hemostatic defects</w:t>
      </w:r>
      <w:r w:rsidRPr="00F74548">
        <w:rPr>
          <w:color w:val="0F243E" w:themeColor="text2" w:themeShade="80"/>
          <w:sz w:val="24"/>
          <w:szCs w:val="24"/>
        </w:rPr>
        <w:t xml:space="preserve"> (</w:t>
      </w:r>
      <w:proofErr w:type="spellStart"/>
      <w:r w:rsidRPr="00F74548">
        <w:rPr>
          <w:color w:val="0F243E" w:themeColor="text2" w:themeShade="80"/>
          <w:sz w:val="24"/>
          <w:szCs w:val="24"/>
        </w:rPr>
        <w:t>eg</w:t>
      </w:r>
      <w:proofErr w:type="spellEnd"/>
      <w:r w:rsidRPr="00F74548">
        <w:rPr>
          <w:color w:val="0F243E" w:themeColor="text2" w:themeShade="80"/>
          <w:sz w:val="24"/>
          <w:szCs w:val="24"/>
        </w:rPr>
        <w:t xml:space="preserve">, hemophilia, von </w:t>
      </w:r>
      <w:proofErr w:type="spellStart"/>
      <w:r w:rsidRPr="00F74548">
        <w:rPr>
          <w:color w:val="0F243E" w:themeColor="text2" w:themeShade="80"/>
          <w:sz w:val="24"/>
          <w:szCs w:val="24"/>
        </w:rPr>
        <w:t>Willebrand</w:t>
      </w:r>
      <w:proofErr w:type="spellEnd"/>
      <w:r w:rsidRPr="00F74548">
        <w:rPr>
          <w:color w:val="0F243E" w:themeColor="text2" w:themeShade="80"/>
          <w:sz w:val="24"/>
          <w:szCs w:val="24"/>
        </w:rPr>
        <w:t xml:space="preserve"> disease, other factor deficiencies associated with bleeding) (adjunctive therapy):</w:t>
      </w:r>
    </w:p>
    <w:p w:rsidR="008157A4" w:rsidRPr="00F74548" w:rsidRDefault="008157A4" w:rsidP="008157A4">
      <w:pPr>
        <w:pStyle w:val="ListParagraph"/>
        <w:numPr>
          <w:ilvl w:val="0"/>
          <w:numId w:val="8"/>
        </w:numPr>
        <w:rPr>
          <w:color w:val="0F243E" w:themeColor="text2" w:themeShade="80"/>
          <w:sz w:val="24"/>
          <w:szCs w:val="24"/>
        </w:rPr>
      </w:pPr>
      <w:r w:rsidRPr="00F74548">
        <w:rPr>
          <w:color w:val="0F243E" w:themeColor="text2" w:themeShade="80"/>
          <w:sz w:val="24"/>
          <w:szCs w:val="24"/>
        </w:rPr>
        <w:t xml:space="preserve">Note: Generally used in conjunction with (and not as a substitute for) replacement of the appropriate clotting factor, especially in individuals with hemophilia. Do not give simultaneously with an activated </w:t>
      </w:r>
      <w:proofErr w:type="spellStart"/>
      <w:r w:rsidRPr="00F74548">
        <w:rPr>
          <w:color w:val="0F243E" w:themeColor="text2" w:themeShade="80"/>
          <w:sz w:val="24"/>
          <w:szCs w:val="24"/>
        </w:rPr>
        <w:t>prothrombin</w:t>
      </w:r>
      <w:proofErr w:type="spellEnd"/>
      <w:r w:rsidRPr="00F74548">
        <w:rPr>
          <w:color w:val="0F243E" w:themeColor="text2" w:themeShade="80"/>
          <w:sz w:val="24"/>
          <w:szCs w:val="24"/>
        </w:rPr>
        <w:t xml:space="preserve"> complex concentrate, as this can increase the risk of thromboembolism; if used concurrently, they should be separated by ≥12 hours (WFH Consultation with a hemophilia treatment center is advised.</w:t>
      </w:r>
    </w:p>
    <w:p w:rsidR="008157A4" w:rsidRPr="00F74548" w:rsidRDefault="008157A4" w:rsidP="008157A4">
      <w:pPr>
        <w:pStyle w:val="ListParagraph"/>
        <w:numPr>
          <w:ilvl w:val="0"/>
          <w:numId w:val="8"/>
        </w:numPr>
        <w:rPr>
          <w:color w:val="0F243E" w:themeColor="text2" w:themeShade="80"/>
          <w:sz w:val="24"/>
          <w:szCs w:val="24"/>
        </w:rPr>
      </w:pPr>
      <w:r w:rsidRPr="00F74548">
        <w:rPr>
          <w:color w:val="0F243E" w:themeColor="text2" w:themeShade="80"/>
          <w:sz w:val="24"/>
          <w:szCs w:val="24"/>
        </w:rPr>
        <w:t xml:space="preserve">IV: 10 mg/kg using actual body weight (usual dose range: 500 mg to 1 g) administered ~2 hours before procedure at a rate not to exceed 100 mg/minute (generally over 10 to 20 minutes), then 10 mg/kg 3 to 4 times daily for 2 to 8 days. Alternatively, 10 mg/kg as a single dose ~2 hours prior to procedure; following procedure, transition to oral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depending on individual patient characteristics, type of procedure, other therapies, and degree of bleeding (</w:t>
      </w:r>
      <w:proofErr w:type="spellStart"/>
      <w:r w:rsidRPr="00F74548">
        <w:rPr>
          <w:color w:val="0F243E" w:themeColor="text2" w:themeShade="80"/>
          <w:sz w:val="24"/>
          <w:szCs w:val="24"/>
        </w:rPr>
        <w:t>Berube</w:t>
      </w:r>
      <w:proofErr w:type="spellEnd"/>
      <w:r w:rsidRPr="00F74548">
        <w:rPr>
          <w:color w:val="0F243E" w:themeColor="text2" w:themeShade="80"/>
          <w:sz w:val="24"/>
          <w:szCs w:val="24"/>
        </w:rPr>
        <w:t xml:space="preserve"> 2020; </w:t>
      </w:r>
      <w:proofErr w:type="spellStart"/>
      <w:r w:rsidRPr="00F74548">
        <w:rPr>
          <w:color w:val="0F243E" w:themeColor="text2" w:themeShade="80"/>
          <w:sz w:val="24"/>
          <w:szCs w:val="24"/>
        </w:rPr>
        <w:t>Cyklokapron</w:t>
      </w:r>
      <w:proofErr w:type="spellEnd"/>
      <w:r w:rsidRPr="00F74548">
        <w:rPr>
          <w:color w:val="0F243E" w:themeColor="text2" w:themeShade="80"/>
          <w:sz w:val="24"/>
          <w:szCs w:val="24"/>
        </w:rPr>
        <w:t xml:space="preserve"> Canadian product monograph; van Galen 2019).</w:t>
      </w:r>
    </w:p>
    <w:p w:rsidR="008157A4" w:rsidRPr="00F74548" w:rsidRDefault="008157A4" w:rsidP="008157A4">
      <w:pPr>
        <w:pStyle w:val="ListParagraph"/>
        <w:numPr>
          <w:ilvl w:val="0"/>
          <w:numId w:val="8"/>
        </w:numPr>
        <w:rPr>
          <w:color w:val="0F243E" w:themeColor="text2" w:themeShade="80"/>
          <w:sz w:val="24"/>
          <w:szCs w:val="24"/>
        </w:rPr>
      </w:pPr>
      <w:r w:rsidRPr="00F74548">
        <w:rPr>
          <w:color w:val="0F243E" w:themeColor="text2" w:themeShade="80"/>
          <w:sz w:val="24"/>
          <w:szCs w:val="24"/>
        </w:rPr>
        <w:t>Oral: 25 mg/kg (usual dose range: 1 to 1.5 g) given 2 hours prior to procedure, then 25 mg/kg (usual dose range: 1 to 1.5 g) 3 to 4 times daily for up to 7 to 10 days (</w:t>
      </w:r>
      <w:proofErr w:type="spellStart"/>
      <w:r w:rsidRPr="00F74548">
        <w:rPr>
          <w:color w:val="0F243E" w:themeColor="text2" w:themeShade="80"/>
          <w:sz w:val="24"/>
          <w:szCs w:val="24"/>
        </w:rPr>
        <w:t>Berube</w:t>
      </w:r>
      <w:proofErr w:type="spellEnd"/>
      <w:r w:rsidRPr="00F74548">
        <w:rPr>
          <w:color w:val="0F243E" w:themeColor="text2" w:themeShade="80"/>
          <w:sz w:val="24"/>
          <w:szCs w:val="24"/>
        </w:rPr>
        <w:t xml:space="preserve"> 2020; </w:t>
      </w:r>
      <w:proofErr w:type="spellStart"/>
      <w:r w:rsidRPr="00F74548">
        <w:rPr>
          <w:color w:val="0F243E" w:themeColor="text2" w:themeShade="80"/>
          <w:sz w:val="24"/>
          <w:szCs w:val="24"/>
        </w:rPr>
        <w:t>Cyklokapron</w:t>
      </w:r>
      <w:proofErr w:type="spellEnd"/>
      <w:r w:rsidRPr="00F74548">
        <w:rPr>
          <w:color w:val="0F243E" w:themeColor="text2" w:themeShade="80"/>
          <w:sz w:val="24"/>
          <w:szCs w:val="24"/>
        </w:rPr>
        <w:t xml:space="preserve"> Canadian product monograph; Hoots 2019; van Galen 2019). The recommended oral dosage range is based on use of 500 mg tablets available internationally, but not in the United States.</w:t>
      </w:r>
    </w:p>
    <w:p w:rsidR="008157A4" w:rsidRPr="00F74548" w:rsidRDefault="008157A4" w:rsidP="008157A4">
      <w:pPr>
        <w:rPr>
          <w:b/>
          <w:bCs/>
          <w:color w:val="0F243E" w:themeColor="text2" w:themeShade="80"/>
          <w:sz w:val="24"/>
          <w:szCs w:val="24"/>
        </w:rPr>
      </w:pPr>
      <w:r w:rsidRPr="00F74548">
        <w:rPr>
          <w:b/>
          <w:bCs/>
          <w:color w:val="0F243E" w:themeColor="text2" w:themeShade="80"/>
          <w:sz w:val="24"/>
          <w:szCs w:val="24"/>
        </w:rPr>
        <w:t>Mechanism of Action</w:t>
      </w:r>
    </w:p>
    <w:p w:rsidR="008157A4" w:rsidRPr="00F74548" w:rsidRDefault="008157A4" w:rsidP="008157A4">
      <w:pPr>
        <w:rPr>
          <w:color w:val="0F243E" w:themeColor="text2" w:themeShade="80"/>
          <w:sz w:val="24"/>
          <w:szCs w:val="24"/>
        </w:rPr>
      </w:pPr>
      <w:r w:rsidRPr="00F74548">
        <w:rPr>
          <w:color w:val="0F243E" w:themeColor="text2" w:themeShade="80"/>
          <w:sz w:val="24"/>
          <w:szCs w:val="24"/>
        </w:rPr>
        <w:t xml:space="preserve">Forms a reversible complex that displaces plasminogen from fibrin resulting in inhibition of fibrinolysis; it also inhibits the </w:t>
      </w:r>
      <w:proofErr w:type="spellStart"/>
      <w:r w:rsidRPr="00F74548">
        <w:rPr>
          <w:color w:val="0F243E" w:themeColor="text2" w:themeShade="80"/>
          <w:sz w:val="24"/>
          <w:szCs w:val="24"/>
        </w:rPr>
        <w:t>proteolytic</w:t>
      </w:r>
      <w:proofErr w:type="spellEnd"/>
      <w:r w:rsidRPr="00F74548">
        <w:rPr>
          <w:color w:val="0F243E" w:themeColor="text2" w:themeShade="80"/>
          <w:sz w:val="24"/>
          <w:szCs w:val="24"/>
        </w:rPr>
        <w:t xml:space="preserve"> activity of plasmin</w:t>
      </w:r>
    </w:p>
    <w:p w:rsidR="008157A4" w:rsidRPr="00F74548" w:rsidRDefault="008157A4" w:rsidP="008157A4">
      <w:pPr>
        <w:rPr>
          <w:color w:val="0F243E" w:themeColor="text2" w:themeShade="80"/>
          <w:sz w:val="24"/>
          <w:szCs w:val="24"/>
        </w:rPr>
      </w:pPr>
      <w:r w:rsidRPr="00F74548">
        <w:rPr>
          <w:color w:val="0F243E" w:themeColor="text2" w:themeShade="80"/>
          <w:sz w:val="24"/>
          <w:szCs w:val="24"/>
        </w:rPr>
        <w:lastRenderedPageBreak/>
        <w:t xml:space="preserve">With reduction in plasmin activity, </w:t>
      </w:r>
      <w:proofErr w:type="spellStart"/>
      <w:r w:rsidRPr="00F74548">
        <w:rPr>
          <w:color w:val="0F243E" w:themeColor="text2" w:themeShade="80"/>
          <w:sz w:val="24"/>
          <w:szCs w:val="24"/>
        </w:rPr>
        <w:t>tranexamic</w:t>
      </w:r>
      <w:proofErr w:type="spellEnd"/>
      <w:r w:rsidRPr="00F74548">
        <w:rPr>
          <w:color w:val="0F243E" w:themeColor="text2" w:themeShade="80"/>
          <w:sz w:val="24"/>
          <w:szCs w:val="24"/>
        </w:rPr>
        <w:t xml:space="preserve"> acid also reduces activation of complement and consumption of C1 esterase inhibitor (C1-INH), thereby decreasing inflammation associated with hereditary angioedema.</w:t>
      </w:r>
    </w:p>
    <w:p w:rsidR="008157A4" w:rsidRPr="00F74548" w:rsidRDefault="008157A4" w:rsidP="008157A4">
      <w:pPr>
        <w:rPr>
          <w:b/>
          <w:bCs/>
          <w:color w:val="0F243E" w:themeColor="text2" w:themeShade="80"/>
          <w:sz w:val="24"/>
          <w:szCs w:val="24"/>
          <w:u w:val="single"/>
        </w:rPr>
      </w:pPr>
      <w:r w:rsidRPr="00F74548">
        <w:rPr>
          <w:b/>
          <w:bCs/>
          <w:color w:val="0F243E" w:themeColor="text2" w:themeShade="80"/>
          <w:sz w:val="24"/>
          <w:szCs w:val="24"/>
          <w:u w:val="single"/>
        </w:rPr>
        <w:t>Adverse Reactions</w:t>
      </w:r>
    </w:p>
    <w:p w:rsidR="008157A4" w:rsidRPr="00F74548" w:rsidRDefault="008157A4" w:rsidP="008157A4">
      <w:pPr>
        <w:rPr>
          <w:color w:val="0F243E" w:themeColor="text2" w:themeShade="80"/>
          <w:sz w:val="24"/>
          <w:szCs w:val="24"/>
        </w:rPr>
      </w:pPr>
      <w:r w:rsidRPr="00F74548">
        <w:rPr>
          <w:color w:val="0F243E" w:themeColor="text2" w:themeShade="80"/>
          <w:sz w:val="24"/>
          <w:szCs w:val="24"/>
        </w:rPr>
        <w:t>10%:</w:t>
      </w:r>
    </w:p>
    <w:p w:rsidR="008157A4" w:rsidRPr="00F74548" w:rsidRDefault="008157A4" w:rsidP="008157A4">
      <w:pPr>
        <w:pStyle w:val="ListParagraph"/>
        <w:numPr>
          <w:ilvl w:val="0"/>
          <w:numId w:val="6"/>
        </w:numPr>
        <w:rPr>
          <w:color w:val="0F243E" w:themeColor="text2" w:themeShade="80"/>
          <w:sz w:val="24"/>
          <w:szCs w:val="24"/>
        </w:rPr>
      </w:pPr>
      <w:r w:rsidRPr="00F74548">
        <w:rPr>
          <w:b/>
          <w:bCs/>
          <w:color w:val="0F243E" w:themeColor="text2" w:themeShade="80"/>
          <w:sz w:val="24"/>
          <w:szCs w:val="24"/>
        </w:rPr>
        <w:t>Gastrointestinal: Abdominal pain</w:t>
      </w:r>
      <w:r w:rsidRPr="00F74548">
        <w:rPr>
          <w:color w:val="0F243E" w:themeColor="text2" w:themeShade="80"/>
          <w:sz w:val="24"/>
          <w:szCs w:val="24"/>
        </w:rPr>
        <w:t xml:space="preserve"> (oral: 20%)</w:t>
      </w:r>
    </w:p>
    <w:p w:rsidR="008157A4" w:rsidRPr="00F74548" w:rsidRDefault="008157A4" w:rsidP="008157A4">
      <w:pPr>
        <w:pStyle w:val="ListParagraph"/>
        <w:numPr>
          <w:ilvl w:val="0"/>
          <w:numId w:val="6"/>
        </w:numPr>
        <w:rPr>
          <w:color w:val="0F243E" w:themeColor="text2" w:themeShade="80"/>
          <w:sz w:val="24"/>
          <w:szCs w:val="24"/>
        </w:rPr>
      </w:pPr>
      <w:r w:rsidRPr="00F74548">
        <w:rPr>
          <w:b/>
          <w:bCs/>
          <w:color w:val="0F243E" w:themeColor="text2" w:themeShade="80"/>
          <w:sz w:val="24"/>
          <w:szCs w:val="24"/>
        </w:rPr>
        <w:t>Nervous system: Headache</w:t>
      </w:r>
      <w:r w:rsidRPr="00F74548">
        <w:rPr>
          <w:color w:val="0F243E" w:themeColor="text2" w:themeShade="80"/>
          <w:sz w:val="24"/>
          <w:szCs w:val="24"/>
        </w:rPr>
        <w:t xml:space="preserve"> (oral: 50%)</w:t>
      </w:r>
    </w:p>
    <w:p w:rsidR="008157A4" w:rsidRPr="00F74548" w:rsidRDefault="008157A4" w:rsidP="008157A4">
      <w:pPr>
        <w:pStyle w:val="ListParagraph"/>
        <w:numPr>
          <w:ilvl w:val="0"/>
          <w:numId w:val="6"/>
        </w:numPr>
        <w:rPr>
          <w:color w:val="0F243E" w:themeColor="text2" w:themeShade="80"/>
          <w:sz w:val="24"/>
          <w:szCs w:val="24"/>
        </w:rPr>
      </w:pPr>
      <w:r w:rsidRPr="00F74548">
        <w:rPr>
          <w:b/>
          <w:bCs/>
          <w:color w:val="0F243E" w:themeColor="text2" w:themeShade="80"/>
          <w:sz w:val="24"/>
          <w:szCs w:val="24"/>
        </w:rPr>
        <w:t>Neuromuscular &amp; skeletal: Back pain (oral: 21%), musculoskeletal pain</w:t>
      </w:r>
      <w:r w:rsidRPr="00F74548">
        <w:rPr>
          <w:color w:val="0F243E" w:themeColor="text2" w:themeShade="80"/>
          <w:sz w:val="24"/>
          <w:szCs w:val="24"/>
        </w:rPr>
        <w:t xml:space="preserve"> (oral: 11%)</w:t>
      </w:r>
    </w:p>
    <w:p w:rsidR="008157A4" w:rsidRPr="00F74548" w:rsidRDefault="008157A4" w:rsidP="008157A4">
      <w:pPr>
        <w:pStyle w:val="ListParagraph"/>
        <w:numPr>
          <w:ilvl w:val="0"/>
          <w:numId w:val="6"/>
        </w:numPr>
        <w:rPr>
          <w:color w:val="0F243E" w:themeColor="text2" w:themeShade="80"/>
          <w:sz w:val="24"/>
          <w:szCs w:val="24"/>
        </w:rPr>
      </w:pPr>
      <w:r w:rsidRPr="00F74548">
        <w:rPr>
          <w:b/>
          <w:bCs/>
          <w:color w:val="0F243E" w:themeColor="text2" w:themeShade="80"/>
          <w:sz w:val="24"/>
          <w:szCs w:val="24"/>
        </w:rPr>
        <w:t>Respiratory: Nasal signs and symptoms</w:t>
      </w:r>
      <w:r w:rsidRPr="00F74548">
        <w:rPr>
          <w:color w:val="0F243E" w:themeColor="text2" w:themeShade="80"/>
          <w:sz w:val="24"/>
          <w:szCs w:val="24"/>
        </w:rPr>
        <w:t xml:space="preserve"> (oral: 25%; including sinus symptoms)</w:t>
      </w:r>
    </w:p>
    <w:p w:rsidR="008157A4" w:rsidRPr="00F74548" w:rsidRDefault="008157A4" w:rsidP="008157A4">
      <w:pPr>
        <w:rPr>
          <w:color w:val="0F243E" w:themeColor="text2" w:themeShade="80"/>
          <w:sz w:val="24"/>
          <w:szCs w:val="24"/>
        </w:rPr>
      </w:pPr>
      <w:r w:rsidRPr="00F74548">
        <w:rPr>
          <w:color w:val="0F243E" w:themeColor="text2" w:themeShade="80"/>
          <w:sz w:val="24"/>
          <w:szCs w:val="24"/>
        </w:rPr>
        <w:t>1% to 10%:</w:t>
      </w:r>
    </w:p>
    <w:p w:rsidR="008157A4" w:rsidRPr="00F74548" w:rsidRDefault="008157A4" w:rsidP="008157A4">
      <w:pPr>
        <w:pStyle w:val="ListParagraph"/>
        <w:numPr>
          <w:ilvl w:val="0"/>
          <w:numId w:val="7"/>
        </w:numPr>
        <w:rPr>
          <w:color w:val="0F243E" w:themeColor="text2" w:themeShade="80"/>
          <w:sz w:val="24"/>
          <w:szCs w:val="24"/>
        </w:rPr>
      </w:pPr>
      <w:r w:rsidRPr="00F74548">
        <w:rPr>
          <w:b/>
          <w:bCs/>
          <w:color w:val="0F243E" w:themeColor="text2" w:themeShade="80"/>
          <w:sz w:val="24"/>
          <w:szCs w:val="24"/>
        </w:rPr>
        <w:t>Hematologic &amp; oncologic: Anemia</w:t>
      </w:r>
      <w:r w:rsidRPr="00F74548">
        <w:rPr>
          <w:color w:val="0F243E" w:themeColor="text2" w:themeShade="80"/>
          <w:sz w:val="24"/>
          <w:szCs w:val="24"/>
        </w:rPr>
        <w:t xml:space="preserve"> (oral: 6%)</w:t>
      </w:r>
    </w:p>
    <w:p w:rsidR="008157A4" w:rsidRPr="00F74548" w:rsidRDefault="008157A4" w:rsidP="008157A4">
      <w:pPr>
        <w:pStyle w:val="ListParagraph"/>
        <w:numPr>
          <w:ilvl w:val="0"/>
          <w:numId w:val="7"/>
        </w:numPr>
        <w:rPr>
          <w:color w:val="0F243E" w:themeColor="text2" w:themeShade="80"/>
          <w:sz w:val="24"/>
          <w:szCs w:val="24"/>
        </w:rPr>
      </w:pPr>
      <w:r w:rsidRPr="00F74548">
        <w:rPr>
          <w:b/>
          <w:bCs/>
          <w:color w:val="0F243E" w:themeColor="text2" w:themeShade="80"/>
          <w:sz w:val="24"/>
          <w:szCs w:val="24"/>
        </w:rPr>
        <w:t>Nervous system: Fatigue</w:t>
      </w:r>
      <w:r w:rsidRPr="00F74548">
        <w:rPr>
          <w:color w:val="0F243E" w:themeColor="text2" w:themeShade="80"/>
          <w:sz w:val="24"/>
          <w:szCs w:val="24"/>
        </w:rPr>
        <w:t xml:space="preserve"> (oral: 5%)</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Neuromuscular &amp; skeletal: Arthralgia (oral: 7%), muscle cramps (oral: ≤7%), muscle spasm (oral: ≤7%)</w:t>
      </w:r>
    </w:p>
    <w:p w:rsidR="008157A4" w:rsidRPr="00F74548" w:rsidRDefault="008157A4" w:rsidP="008157A4">
      <w:pPr>
        <w:pStyle w:val="ListParagraph"/>
        <w:numPr>
          <w:ilvl w:val="0"/>
          <w:numId w:val="7"/>
        </w:numPr>
        <w:rPr>
          <w:b/>
          <w:bCs/>
          <w:color w:val="0F243E" w:themeColor="text2" w:themeShade="80"/>
          <w:sz w:val="24"/>
          <w:szCs w:val="24"/>
        </w:rPr>
      </w:pPr>
      <w:proofErr w:type="spellStart"/>
      <w:r w:rsidRPr="00F74548">
        <w:rPr>
          <w:b/>
          <w:bCs/>
          <w:color w:val="0F243E" w:themeColor="text2" w:themeShade="80"/>
          <w:sz w:val="24"/>
          <w:szCs w:val="24"/>
        </w:rPr>
        <w:t>Postmarketing</w:t>
      </w:r>
      <w:proofErr w:type="spellEnd"/>
      <w:r w:rsidRPr="00F74548">
        <w:rPr>
          <w:b/>
          <w:bCs/>
          <w:color w:val="0F243E" w:themeColor="text2" w:themeShade="80"/>
          <w:sz w:val="24"/>
          <w:szCs w:val="24"/>
        </w:rPr>
        <w:t>:</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Cardiovascular: Cerebral thrombosis, deep vein thrombosis, hypotension (with rapid IV injection), pulmonary embolism</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Dermatologic: Allergic dermatitis, allergic skin reaction</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Gastrointestinal: Diarrhea, nausea, vomiting</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Genitourinary: Ureteral obstruction</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 xml:space="preserve">Hypersensitivity: Anaphylactic shock, anaphylaxis, hypersensitivity reaction, </w:t>
      </w:r>
      <w:proofErr w:type="spellStart"/>
      <w:r w:rsidRPr="00F74548">
        <w:rPr>
          <w:b/>
          <w:bCs/>
          <w:color w:val="0F243E" w:themeColor="text2" w:themeShade="80"/>
          <w:sz w:val="24"/>
          <w:szCs w:val="24"/>
        </w:rPr>
        <w:t>nonimmune</w:t>
      </w:r>
      <w:proofErr w:type="spellEnd"/>
      <w:r w:rsidRPr="00F74548">
        <w:rPr>
          <w:b/>
          <w:bCs/>
          <w:color w:val="0F243E" w:themeColor="text2" w:themeShade="80"/>
          <w:sz w:val="24"/>
          <w:szCs w:val="24"/>
        </w:rPr>
        <w:t xml:space="preserve"> anaphylaxis, severe hypersensitivity reaction</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 xml:space="preserve">Nervous system: Dizziness, seizure </w:t>
      </w:r>
    </w:p>
    <w:p w:rsidR="008157A4" w:rsidRPr="00F74548"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 xml:space="preserve">Ophthalmic: </w:t>
      </w:r>
      <w:proofErr w:type="spellStart"/>
      <w:r w:rsidRPr="00F74548">
        <w:rPr>
          <w:b/>
          <w:bCs/>
          <w:color w:val="0F243E" w:themeColor="text2" w:themeShade="80"/>
          <w:sz w:val="24"/>
          <w:szCs w:val="24"/>
        </w:rPr>
        <w:t>Chromatopsia</w:t>
      </w:r>
      <w:proofErr w:type="spellEnd"/>
      <w:r w:rsidRPr="00F74548">
        <w:rPr>
          <w:b/>
          <w:bCs/>
          <w:color w:val="0F243E" w:themeColor="text2" w:themeShade="80"/>
          <w:sz w:val="24"/>
          <w:szCs w:val="24"/>
        </w:rPr>
        <w:t>, conjunctivitis (ligneous), retinal artery occlusion, retinal vein occlusion, visual disturbance</w:t>
      </w:r>
    </w:p>
    <w:p w:rsidR="008157A4" w:rsidRDefault="008157A4" w:rsidP="008157A4">
      <w:pPr>
        <w:pStyle w:val="ListParagraph"/>
        <w:numPr>
          <w:ilvl w:val="0"/>
          <w:numId w:val="7"/>
        </w:numPr>
        <w:rPr>
          <w:b/>
          <w:bCs/>
          <w:color w:val="0F243E" w:themeColor="text2" w:themeShade="80"/>
          <w:sz w:val="24"/>
          <w:szCs w:val="24"/>
        </w:rPr>
      </w:pPr>
      <w:r w:rsidRPr="00F74548">
        <w:rPr>
          <w:b/>
          <w:bCs/>
          <w:color w:val="0F243E" w:themeColor="text2" w:themeShade="80"/>
          <w:sz w:val="24"/>
          <w:szCs w:val="24"/>
        </w:rPr>
        <w:t>Renal: Renal cortical necrosis</w:t>
      </w:r>
    </w:p>
    <w:p w:rsidR="008157A4" w:rsidRPr="008157A4" w:rsidRDefault="008157A4" w:rsidP="008157A4">
      <w:pPr>
        <w:ind w:left="360"/>
        <w:rPr>
          <w:b/>
          <w:bCs/>
          <w:color w:val="0F243E" w:themeColor="text2" w:themeShade="80"/>
          <w:sz w:val="24"/>
          <w:szCs w:val="24"/>
        </w:rPr>
      </w:pPr>
      <w:r w:rsidRPr="008157A4">
        <w:rPr>
          <w:rFonts w:ascii="Arial" w:hAnsi="Arial" w:cs="Arial"/>
          <w:b/>
          <w:bCs/>
          <w:color w:val="000000"/>
          <w:sz w:val="20"/>
          <w:szCs w:val="20"/>
          <w:highlight w:val="yellow"/>
          <w:u w:val="single"/>
          <w:shd w:val="clear" w:color="auto" w:fill="FFFFFF"/>
        </w:rPr>
        <w:t>Menorrhagia:</w:t>
      </w:r>
      <w:r w:rsidRPr="008157A4">
        <w:rPr>
          <w:rFonts w:ascii="Arial" w:hAnsi="Arial" w:cs="Arial"/>
          <w:b/>
          <w:bCs/>
          <w:color w:val="000000"/>
          <w:sz w:val="20"/>
          <w:szCs w:val="20"/>
          <w:highlight w:val="yellow"/>
          <w:shd w:val="clear" w:color="auto" w:fill="FFFFFF"/>
        </w:rPr>
        <w:t xml:space="preserve"> Recommended dosage is 2 tablets 3 times daily as long as needed for up to 4 days. If very heavy menstrual bleeding, dosage may be increased. A total dose of 4g daily (8 tablets) should not be exceeded. Treatment with </w:t>
      </w:r>
      <w:proofErr w:type="spellStart"/>
      <w:r w:rsidRPr="008157A4">
        <w:rPr>
          <w:rFonts w:ascii="Arial" w:hAnsi="Arial" w:cs="Arial"/>
          <w:b/>
          <w:bCs/>
          <w:color w:val="000000"/>
          <w:sz w:val="20"/>
          <w:szCs w:val="20"/>
          <w:highlight w:val="yellow"/>
          <w:shd w:val="clear" w:color="auto" w:fill="FFFFFF"/>
        </w:rPr>
        <w:t>Tranexamic</w:t>
      </w:r>
      <w:proofErr w:type="spellEnd"/>
      <w:r w:rsidRPr="008157A4">
        <w:rPr>
          <w:rFonts w:ascii="Arial" w:hAnsi="Arial" w:cs="Arial"/>
          <w:b/>
          <w:bCs/>
          <w:color w:val="000000"/>
          <w:sz w:val="20"/>
          <w:szCs w:val="20"/>
          <w:highlight w:val="yellow"/>
          <w:shd w:val="clear" w:color="auto" w:fill="FFFFFF"/>
        </w:rPr>
        <w:t xml:space="preserve"> acid should not be initiated until menstrual bleeding has started.</w:t>
      </w:r>
      <w:r>
        <w:rPr>
          <w:rFonts w:ascii="Arial" w:hAnsi="Arial" w:cs="Arial"/>
          <w:b/>
          <w:bCs/>
          <w:color w:val="000000"/>
          <w:sz w:val="20"/>
          <w:szCs w:val="20"/>
          <w:shd w:val="clear" w:color="auto" w:fill="FFFFFF"/>
        </w:rPr>
        <w:t>(1 tablet =500 mg)</w:t>
      </w:r>
      <w:bookmarkStart w:id="0" w:name="_GoBack"/>
      <w:bookmarkEnd w:id="0"/>
    </w:p>
    <w:p w:rsidR="00D636F8" w:rsidRDefault="00D636F8"/>
    <w:sectPr w:rsidR="00D6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4106"/>
    <w:multiLevelType w:val="hybridMultilevel"/>
    <w:tmpl w:val="96CE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32D4"/>
    <w:multiLevelType w:val="hybridMultilevel"/>
    <w:tmpl w:val="600E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14273"/>
    <w:multiLevelType w:val="hybridMultilevel"/>
    <w:tmpl w:val="E6F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C7FC7"/>
    <w:multiLevelType w:val="hybridMultilevel"/>
    <w:tmpl w:val="AC38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370EAF"/>
    <w:multiLevelType w:val="hybridMultilevel"/>
    <w:tmpl w:val="EFAC1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6463B"/>
    <w:multiLevelType w:val="hybridMultilevel"/>
    <w:tmpl w:val="2552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61219A"/>
    <w:multiLevelType w:val="hybridMultilevel"/>
    <w:tmpl w:val="B79E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5666D"/>
    <w:multiLevelType w:val="hybridMultilevel"/>
    <w:tmpl w:val="7CC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A4"/>
    <w:rsid w:val="004364B6"/>
    <w:rsid w:val="008157A4"/>
    <w:rsid w:val="00D63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2020-10-24T13:42:00Z</dcterms:created>
  <dcterms:modified xsi:type="dcterms:W3CDTF">2020-10-24T13:42:00Z</dcterms:modified>
</cp:coreProperties>
</file>