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BIRZEIT UNIVERSITY</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Phar(222)</w:t>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444500</wp:posOffset>
                </wp:positionV>
                <wp:extent cx="6972300" cy="12700"/>
                <wp:effectExtent b="0" l="0" r="0" t="0"/>
                <wp:wrapNone/>
                <wp:docPr id="2" name=""/>
                <a:graphic>
                  <a:graphicData uri="http://schemas.microsoft.com/office/word/2010/wordprocessingShape">
                    <wps:wsp>
                      <wps:cNvCnPr/>
                      <wps:spPr>
                        <a:xfrm>
                          <a:off x="1859850" y="3780000"/>
                          <a:ext cx="6972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444500</wp:posOffset>
                </wp:positionV>
                <wp:extent cx="69723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972300" cy="12700"/>
                        </a:xfrm>
                        <a:prstGeom prst="rect"/>
                        <a:ln/>
                      </pic:spPr>
                    </pic:pic>
                  </a:graphicData>
                </a:graphic>
              </wp:anchor>
            </w:drawing>
          </mc:Fallback>
        </mc:AlternateConten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Omar Taweel                           Homework 2.                            ID:1160150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numPr>
          <w:ilvl w:val="0"/>
          <w:numId w:val="2"/>
        </w:numPr>
        <w:ind w:left="720" w:hanging="360"/>
        <w:rPr>
          <w:sz w:val="28"/>
          <w:szCs w:val="28"/>
        </w:rPr>
      </w:pPr>
      <w:r w:rsidDel="00000000" w:rsidR="00000000" w:rsidRPr="00000000">
        <w:rPr>
          <w:sz w:val="28"/>
          <w:szCs w:val="28"/>
          <w:rtl w:val="0"/>
        </w:rPr>
        <w:t xml:space="preserve">During a period of 5 years 100 new cases of obstructive lung disease were diagnosed among 1100 children 2 months of age at start of follow-up. The mean level of air pollution during the period was measured. The cases and the children with no lung disease showed the following distribution according to air pollution at their place of residence.</w:t>
      </w:r>
    </w:p>
    <w:p w:rsidR="00000000" w:rsidDel="00000000" w:rsidP="00000000" w:rsidRDefault="00000000" w:rsidRPr="00000000" w14:paraId="00000009">
      <w:pPr>
        <w:ind w:left="360" w:firstLine="0"/>
        <w:rPr>
          <w:sz w:val="28"/>
          <w:szCs w:val="28"/>
        </w:rPr>
      </w:pPr>
      <w:r w:rsidDel="00000000" w:rsidR="00000000" w:rsidRPr="00000000">
        <w:rPr>
          <w:rtl w:val="0"/>
        </w:rPr>
      </w:r>
    </w:p>
    <w:p w:rsidR="00000000" w:rsidDel="00000000" w:rsidP="00000000" w:rsidRDefault="00000000" w:rsidRPr="00000000" w14:paraId="0000000A">
      <w:pPr>
        <w:ind w:left="360" w:firstLine="0"/>
        <w:rPr>
          <w:sz w:val="28"/>
          <w:szCs w:val="28"/>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cantSplit w:val="0"/>
          <w:tblHeader w:val="0"/>
        </w:trPr>
        <w:tc>
          <w:tcPr/>
          <w:p w:rsidR="00000000" w:rsidDel="00000000" w:rsidP="00000000" w:rsidRDefault="00000000" w:rsidRPr="00000000" w14:paraId="0000000B">
            <w:pPr>
              <w:rPr>
                <w:sz w:val="28"/>
                <w:szCs w:val="28"/>
              </w:rPr>
            </w:pPr>
            <w:r w:rsidDel="00000000" w:rsidR="00000000" w:rsidRPr="00000000">
              <w:rPr>
                <w:rtl w:val="0"/>
              </w:rPr>
            </w:r>
          </w:p>
        </w:tc>
        <w:tc>
          <w:tcPr/>
          <w:p w:rsidR="00000000" w:rsidDel="00000000" w:rsidP="00000000" w:rsidRDefault="00000000" w:rsidRPr="00000000" w14:paraId="0000000C">
            <w:pPr>
              <w:rPr>
                <w:sz w:val="28"/>
                <w:szCs w:val="28"/>
              </w:rPr>
            </w:pPr>
            <w:r w:rsidDel="00000000" w:rsidR="00000000" w:rsidRPr="00000000">
              <w:rPr>
                <w:rtl w:val="0"/>
              </w:rPr>
            </w:r>
          </w:p>
        </w:tc>
        <w:tc>
          <w:tcPr/>
          <w:p w:rsidR="00000000" w:rsidDel="00000000" w:rsidP="00000000" w:rsidRDefault="00000000" w:rsidRPr="00000000" w14:paraId="0000000D">
            <w:pPr>
              <w:rPr>
                <w:sz w:val="28"/>
                <w:szCs w:val="28"/>
              </w:rPr>
            </w:pPr>
            <w:r w:rsidDel="00000000" w:rsidR="00000000" w:rsidRPr="00000000">
              <w:rPr>
                <w:sz w:val="28"/>
                <w:szCs w:val="28"/>
                <w:rtl w:val="0"/>
              </w:rPr>
              <w:t xml:space="preserve">Cases</w:t>
            </w:r>
          </w:p>
        </w:tc>
        <w:tc>
          <w:tcPr/>
          <w:p w:rsidR="00000000" w:rsidDel="00000000" w:rsidP="00000000" w:rsidRDefault="00000000" w:rsidRPr="00000000" w14:paraId="0000000E">
            <w:pPr>
              <w:rPr>
                <w:sz w:val="28"/>
                <w:szCs w:val="28"/>
              </w:rPr>
            </w:pPr>
            <w:r w:rsidDel="00000000" w:rsidR="00000000" w:rsidRPr="00000000">
              <w:rPr>
                <w:sz w:val="28"/>
                <w:szCs w:val="28"/>
                <w:rtl w:val="0"/>
              </w:rPr>
              <w:t xml:space="preserve">Non-cases</w:t>
            </w:r>
          </w:p>
        </w:tc>
        <w:tc>
          <w:tcPr/>
          <w:p w:rsidR="00000000" w:rsidDel="00000000" w:rsidP="00000000" w:rsidRDefault="00000000" w:rsidRPr="00000000" w14:paraId="0000000F">
            <w:pPr>
              <w:rPr>
                <w:sz w:val="28"/>
                <w:szCs w:val="28"/>
              </w:rPr>
            </w:pPr>
            <w:r w:rsidDel="00000000" w:rsidR="00000000" w:rsidRPr="00000000">
              <w:rPr>
                <w:sz w:val="28"/>
                <w:szCs w:val="28"/>
                <w:rtl w:val="0"/>
              </w:rPr>
              <w:t xml:space="preserve">Total</w:t>
            </w:r>
          </w:p>
        </w:tc>
      </w:tr>
      <w:tr>
        <w:trPr>
          <w:cantSplit w:val="0"/>
          <w:tblHeader w:val="0"/>
        </w:trPr>
        <w:tc>
          <w:tcPr/>
          <w:p w:rsidR="00000000" w:rsidDel="00000000" w:rsidP="00000000" w:rsidRDefault="00000000" w:rsidRPr="00000000" w14:paraId="00000010">
            <w:pPr>
              <w:rPr>
                <w:sz w:val="28"/>
                <w:szCs w:val="28"/>
              </w:rPr>
            </w:pPr>
            <w:r w:rsidDel="00000000" w:rsidR="00000000" w:rsidRPr="00000000">
              <w:rPr>
                <w:sz w:val="28"/>
                <w:szCs w:val="28"/>
                <w:rtl w:val="0"/>
              </w:rPr>
              <w:t xml:space="preserve">Pollution</w:t>
            </w:r>
          </w:p>
        </w:tc>
        <w:tc>
          <w:tcPr/>
          <w:p w:rsidR="00000000" w:rsidDel="00000000" w:rsidP="00000000" w:rsidRDefault="00000000" w:rsidRPr="00000000" w14:paraId="00000011">
            <w:pPr>
              <w:rPr>
                <w:sz w:val="28"/>
                <w:szCs w:val="28"/>
              </w:rPr>
            </w:pPr>
            <w:r w:rsidDel="00000000" w:rsidR="00000000" w:rsidRPr="00000000">
              <w:rPr>
                <w:sz w:val="28"/>
                <w:szCs w:val="28"/>
                <w:rtl w:val="0"/>
              </w:rPr>
              <w:t xml:space="preserve">Low</w:t>
            </w:r>
          </w:p>
          <w:p w:rsidR="00000000" w:rsidDel="00000000" w:rsidP="00000000" w:rsidRDefault="00000000" w:rsidRPr="00000000" w14:paraId="00000012">
            <w:pPr>
              <w:rPr>
                <w:sz w:val="28"/>
                <w:szCs w:val="28"/>
              </w:rPr>
            </w:pPr>
            <w:r w:rsidDel="00000000" w:rsidR="00000000" w:rsidRPr="00000000">
              <w:rPr>
                <w:sz w:val="28"/>
                <w:szCs w:val="28"/>
                <w:rtl w:val="0"/>
              </w:rPr>
              <w:t xml:space="preserve">Medium</w:t>
            </w:r>
          </w:p>
          <w:p w:rsidR="00000000" w:rsidDel="00000000" w:rsidP="00000000" w:rsidRDefault="00000000" w:rsidRPr="00000000" w14:paraId="00000013">
            <w:pPr>
              <w:rPr>
                <w:sz w:val="28"/>
                <w:szCs w:val="28"/>
              </w:rPr>
            </w:pPr>
            <w:r w:rsidDel="00000000" w:rsidR="00000000" w:rsidRPr="00000000">
              <w:rPr>
                <w:sz w:val="28"/>
                <w:szCs w:val="28"/>
                <w:rtl w:val="0"/>
              </w:rPr>
              <w:t xml:space="preserve">High</w:t>
            </w:r>
          </w:p>
        </w:tc>
        <w:tc>
          <w:tcPr/>
          <w:p w:rsidR="00000000" w:rsidDel="00000000" w:rsidP="00000000" w:rsidRDefault="00000000" w:rsidRPr="00000000" w14:paraId="00000014">
            <w:pPr>
              <w:rPr>
                <w:sz w:val="28"/>
                <w:szCs w:val="28"/>
              </w:rPr>
            </w:pPr>
            <w:r w:rsidDel="00000000" w:rsidR="00000000" w:rsidRPr="00000000">
              <w:rPr>
                <w:sz w:val="28"/>
                <w:szCs w:val="28"/>
                <w:rtl w:val="0"/>
              </w:rPr>
              <w:t xml:space="preserve">50</w:t>
            </w:r>
          </w:p>
          <w:p w:rsidR="00000000" w:rsidDel="00000000" w:rsidP="00000000" w:rsidRDefault="00000000" w:rsidRPr="00000000" w14:paraId="00000015">
            <w:pPr>
              <w:rPr>
                <w:sz w:val="28"/>
                <w:szCs w:val="28"/>
              </w:rPr>
            </w:pPr>
            <w:r w:rsidDel="00000000" w:rsidR="00000000" w:rsidRPr="00000000">
              <w:rPr>
                <w:sz w:val="28"/>
                <w:szCs w:val="28"/>
                <w:rtl w:val="0"/>
              </w:rPr>
              <w:t xml:space="preserve">20</w:t>
            </w:r>
          </w:p>
          <w:p w:rsidR="00000000" w:rsidDel="00000000" w:rsidP="00000000" w:rsidRDefault="00000000" w:rsidRPr="00000000" w14:paraId="00000016">
            <w:pPr>
              <w:rPr>
                <w:sz w:val="28"/>
                <w:szCs w:val="28"/>
              </w:rPr>
            </w:pPr>
            <w:r w:rsidDel="00000000" w:rsidR="00000000" w:rsidRPr="00000000">
              <w:rPr>
                <w:sz w:val="28"/>
                <w:szCs w:val="28"/>
                <w:rtl w:val="0"/>
              </w:rPr>
              <w:t xml:space="preserve">30</w:t>
            </w:r>
          </w:p>
        </w:tc>
        <w:tc>
          <w:tcPr/>
          <w:p w:rsidR="00000000" w:rsidDel="00000000" w:rsidP="00000000" w:rsidRDefault="00000000" w:rsidRPr="00000000" w14:paraId="00000017">
            <w:pPr>
              <w:rPr>
                <w:sz w:val="28"/>
                <w:szCs w:val="28"/>
              </w:rPr>
            </w:pPr>
            <w:r w:rsidDel="00000000" w:rsidR="00000000" w:rsidRPr="00000000">
              <w:rPr>
                <w:sz w:val="28"/>
                <w:szCs w:val="28"/>
                <w:rtl w:val="0"/>
              </w:rPr>
              <w:t xml:space="preserve">700</w:t>
            </w:r>
          </w:p>
          <w:p w:rsidR="00000000" w:rsidDel="00000000" w:rsidP="00000000" w:rsidRDefault="00000000" w:rsidRPr="00000000" w14:paraId="00000018">
            <w:pPr>
              <w:rPr>
                <w:sz w:val="28"/>
                <w:szCs w:val="28"/>
              </w:rPr>
            </w:pPr>
            <w:r w:rsidDel="00000000" w:rsidR="00000000" w:rsidRPr="00000000">
              <w:rPr>
                <w:sz w:val="28"/>
                <w:szCs w:val="28"/>
                <w:rtl w:val="0"/>
              </w:rPr>
              <w:t xml:space="preserve">150</w:t>
            </w:r>
          </w:p>
          <w:p w:rsidR="00000000" w:rsidDel="00000000" w:rsidP="00000000" w:rsidRDefault="00000000" w:rsidRPr="00000000" w14:paraId="00000019">
            <w:pPr>
              <w:rPr>
                <w:sz w:val="28"/>
                <w:szCs w:val="28"/>
              </w:rPr>
            </w:pPr>
            <w:r w:rsidDel="00000000" w:rsidR="00000000" w:rsidRPr="00000000">
              <w:rPr>
                <w:sz w:val="28"/>
                <w:szCs w:val="28"/>
                <w:rtl w:val="0"/>
              </w:rPr>
              <w:t xml:space="preserve">150</w:t>
            </w:r>
          </w:p>
        </w:tc>
        <w:tc>
          <w:tcPr/>
          <w:p w:rsidR="00000000" w:rsidDel="00000000" w:rsidP="00000000" w:rsidRDefault="00000000" w:rsidRPr="00000000" w14:paraId="0000001A">
            <w:pPr>
              <w:rPr>
                <w:sz w:val="28"/>
                <w:szCs w:val="28"/>
              </w:rPr>
            </w:pPr>
            <w:r w:rsidDel="00000000" w:rsidR="00000000" w:rsidRPr="00000000">
              <w:rPr>
                <w:sz w:val="28"/>
                <w:szCs w:val="28"/>
                <w:rtl w:val="0"/>
              </w:rPr>
              <w:t xml:space="preserve">750</w:t>
            </w:r>
          </w:p>
          <w:p w:rsidR="00000000" w:rsidDel="00000000" w:rsidP="00000000" w:rsidRDefault="00000000" w:rsidRPr="00000000" w14:paraId="0000001B">
            <w:pPr>
              <w:rPr>
                <w:sz w:val="28"/>
                <w:szCs w:val="28"/>
              </w:rPr>
            </w:pPr>
            <w:r w:rsidDel="00000000" w:rsidR="00000000" w:rsidRPr="00000000">
              <w:rPr>
                <w:sz w:val="28"/>
                <w:szCs w:val="28"/>
                <w:rtl w:val="0"/>
              </w:rPr>
              <w:t xml:space="preserve">170</w:t>
            </w:r>
          </w:p>
          <w:p w:rsidR="00000000" w:rsidDel="00000000" w:rsidP="00000000" w:rsidRDefault="00000000" w:rsidRPr="00000000" w14:paraId="0000001C">
            <w:pPr>
              <w:rPr>
                <w:sz w:val="28"/>
                <w:szCs w:val="28"/>
              </w:rPr>
            </w:pPr>
            <w:r w:rsidDel="00000000" w:rsidR="00000000" w:rsidRPr="00000000">
              <w:rPr>
                <w:sz w:val="28"/>
                <w:szCs w:val="28"/>
                <w:rtl w:val="0"/>
              </w:rPr>
              <w:t xml:space="preserve">180</w:t>
            </w:r>
          </w:p>
        </w:tc>
      </w:tr>
    </w:tbl>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calculate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relative risk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obstructive lung disease for those exposed to medium and then to high level of pollution using those exposed to low level of air pollution as the reference category.</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        What are your conclusions from this result????? </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RR (medium)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R (exposed)</m:t>
            </m:r>
          </m:num>
          <m:den>
            <m:r>
              <w:rPr>
                <w:rFonts w:ascii="Cambria Math" w:cs="Cambria Math" w:eastAsia="Cambria Math" w:hAnsi="Cambria Math"/>
                <w:sz w:val="28"/>
                <w:szCs w:val="28"/>
              </w:rPr>
              <m:t xml:space="preserve">R (Non exposed )</m:t>
            </m:r>
          </m:den>
        </m:f>
        <m:r>
          <w:rPr>
            <w:rFonts w:ascii="Cambria Math" w:cs="Cambria Math" w:eastAsia="Cambria Math" w:hAnsi="Cambria Math"/>
            <w:sz w:val="28"/>
            <w:szCs w:val="28"/>
          </w:rPr>
          <m:t xml:space="preserve">= </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20÷170</m:t>
            </m:r>
          </m:num>
          <m:den>
            <m:r>
              <w:rPr>
                <w:rFonts w:ascii="Cambria Math" w:cs="Cambria Math" w:eastAsia="Cambria Math" w:hAnsi="Cambria Math"/>
                <w:sz w:val="28"/>
                <w:szCs w:val="28"/>
              </w:rPr>
              <m:t xml:space="preserve">50÷750</m:t>
            </m:r>
          </m:den>
        </m:f>
        <m:r>
          <w:rPr>
            <w:rFonts w:ascii="Cambria Math" w:cs="Cambria Math" w:eastAsia="Cambria Math" w:hAnsi="Cambria Math"/>
            <w:sz w:val="28"/>
            <w:szCs w:val="28"/>
          </w:rPr>
          <m:t xml:space="preserve">=1.79</m:t>
        </m:r>
      </m:oMath>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RR (High)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R (exposed)</m:t>
            </m:r>
          </m:num>
          <m:den>
            <m:r>
              <w:rPr>
                <w:rFonts w:ascii="Cambria Math" w:cs="Cambria Math" w:eastAsia="Cambria Math" w:hAnsi="Cambria Math"/>
                <w:sz w:val="28"/>
                <w:szCs w:val="28"/>
              </w:rPr>
              <m:t xml:space="preserve">R (Non exposed )</m:t>
            </m:r>
          </m:den>
        </m:f>
        <m:r>
          <w:rPr>
            <w:rFonts w:ascii="Cambria Math" w:cs="Cambria Math" w:eastAsia="Cambria Math" w:hAnsi="Cambria Math"/>
            <w:sz w:val="28"/>
            <w:szCs w:val="28"/>
          </w:rPr>
          <m:t xml:space="preserve">= </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30</m:t>
            </m:r>
            <m:r>
              <w:rPr>
                <w:rFonts w:ascii="Cambria Math" w:cs="Cambria Math" w:eastAsia="Cambria Math" w:hAnsi="Cambria Math"/>
                <w:sz w:val="28"/>
                <w:szCs w:val="28"/>
              </w:rPr>
              <m:t>÷</m:t>
            </m:r>
            <m:r>
              <w:rPr>
                <w:rFonts w:ascii="Cambria Math" w:cs="Cambria Math" w:eastAsia="Cambria Math" w:hAnsi="Cambria Math"/>
                <w:sz w:val="28"/>
                <w:szCs w:val="28"/>
              </w:rPr>
              <m:t xml:space="preserve">180</m:t>
            </m:r>
          </m:num>
          <m:den>
            <m:r>
              <w:rPr>
                <w:rFonts w:ascii="Cambria Math" w:cs="Cambria Math" w:eastAsia="Cambria Math" w:hAnsi="Cambria Math"/>
                <w:sz w:val="28"/>
                <w:szCs w:val="28"/>
              </w:rPr>
              <m:t xml:space="preserve">50÷750</m:t>
            </m:r>
          </m:den>
        </m:f>
        <m:r>
          <w:rPr>
            <w:rFonts w:ascii="Cambria Math" w:cs="Cambria Math" w:eastAsia="Cambria Math" w:hAnsi="Cambria Math"/>
            <w:sz w:val="28"/>
            <w:szCs w:val="28"/>
          </w:rPr>
          <m:t xml:space="preserve">=2.39</m:t>
        </m:r>
      </m:oMath>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ind w:left="142" w:hanging="142"/>
        <w:jc w:val="both"/>
        <w:rPr>
          <w:sz w:val="28"/>
          <w:szCs w:val="28"/>
        </w:rPr>
      </w:pPr>
      <w:r w:rsidDel="00000000" w:rsidR="00000000" w:rsidRPr="00000000">
        <w:rPr>
          <w:b w:val="1"/>
          <w:sz w:val="28"/>
          <w:szCs w:val="28"/>
          <w:rtl w:val="0"/>
        </w:rPr>
        <w:t xml:space="preserve">Conclusion:</w:t>
      </w:r>
      <w:r w:rsidDel="00000000" w:rsidR="00000000" w:rsidRPr="00000000">
        <w:rPr>
          <w:sz w:val="28"/>
          <w:szCs w:val="28"/>
          <w:rtl w:val="0"/>
        </w:rPr>
        <w:t xml:space="preserve"> </w:t>
        <w:br w:type="textWrapping"/>
        <w:t xml:space="preserve">A </w:t>
      </w:r>
      <w:r w:rsidDel="00000000" w:rsidR="00000000" w:rsidRPr="00000000">
        <w:rPr>
          <w:b w:val="1"/>
          <w:sz w:val="28"/>
          <w:szCs w:val="28"/>
          <w:rtl w:val="0"/>
        </w:rPr>
        <w:t xml:space="preserve">positive association</w:t>
      </w:r>
      <w:r w:rsidDel="00000000" w:rsidR="00000000" w:rsidRPr="00000000">
        <w:rPr>
          <w:sz w:val="28"/>
          <w:szCs w:val="28"/>
          <w:rtl w:val="0"/>
        </w:rPr>
        <w:t xml:space="preserve"> is present between obstructive pulmonary disease and pollution. </w:t>
      </w:r>
    </w:p>
    <w:p w:rsidR="00000000" w:rsidDel="00000000" w:rsidP="00000000" w:rsidRDefault="00000000" w:rsidRPr="00000000" w14:paraId="00000027">
      <w:pPr>
        <w:ind w:left="142" w:hanging="142"/>
        <w:jc w:val="both"/>
        <w:rPr>
          <w:sz w:val="28"/>
          <w:szCs w:val="28"/>
        </w:rPr>
      </w:pPr>
      <w:r w:rsidDel="00000000" w:rsidR="00000000" w:rsidRPr="00000000">
        <w:rPr>
          <w:rtl w:val="0"/>
        </w:rPr>
      </w:r>
    </w:p>
    <w:p w:rsidR="00000000" w:rsidDel="00000000" w:rsidP="00000000" w:rsidRDefault="00000000" w:rsidRPr="00000000" w14:paraId="00000028">
      <w:pPr>
        <w:ind w:left="142" w:hanging="142"/>
        <w:jc w:val="both"/>
        <w:rPr>
          <w:sz w:val="28"/>
          <w:szCs w:val="28"/>
        </w:rPr>
      </w:pPr>
      <w:r w:rsidDel="00000000" w:rsidR="00000000" w:rsidRPr="00000000">
        <w:rPr>
          <w:sz w:val="28"/>
          <w:szCs w:val="28"/>
          <w:rtl w:val="0"/>
        </w:rPr>
        <w:t xml:space="preserve">People who are exposed to medium pollution have a </w:t>
      </w:r>
      <w:r w:rsidDel="00000000" w:rsidR="00000000" w:rsidRPr="00000000">
        <w:rPr>
          <w:b w:val="1"/>
          <w:sz w:val="28"/>
          <w:szCs w:val="28"/>
          <w:rtl w:val="0"/>
        </w:rPr>
        <w:t xml:space="preserve">79% increased risk</w:t>
      </w:r>
      <w:r w:rsidDel="00000000" w:rsidR="00000000" w:rsidRPr="00000000">
        <w:rPr>
          <w:sz w:val="28"/>
          <w:szCs w:val="28"/>
          <w:rtl w:val="0"/>
        </w:rPr>
        <w:t xml:space="preserve"> of getting the disease than those exposed to low pollution.</w:t>
      </w:r>
    </w:p>
    <w:p w:rsidR="00000000" w:rsidDel="00000000" w:rsidP="00000000" w:rsidRDefault="00000000" w:rsidRPr="00000000" w14:paraId="00000029">
      <w:pPr>
        <w:ind w:left="142" w:hanging="142"/>
        <w:jc w:val="both"/>
        <w:rPr>
          <w:sz w:val="28"/>
          <w:szCs w:val="28"/>
        </w:rPr>
      </w:pPr>
      <w:r w:rsidDel="00000000" w:rsidR="00000000" w:rsidRPr="00000000">
        <w:rPr>
          <w:rtl w:val="0"/>
        </w:rPr>
      </w:r>
    </w:p>
    <w:p w:rsidR="00000000" w:rsidDel="00000000" w:rsidP="00000000" w:rsidRDefault="00000000" w:rsidRPr="00000000" w14:paraId="0000002A">
      <w:pPr>
        <w:ind w:left="142" w:hanging="142"/>
        <w:jc w:val="both"/>
        <w:rPr>
          <w:sz w:val="28"/>
          <w:szCs w:val="28"/>
        </w:rPr>
      </w:pPr>
      <w:r w:rsidDel="00000000" w:rsidR="00000000" w:rsidRPr="00000000">
        <w:rPr>
          <w:sz w:val="28"/>
          <w:szCs w:val="28"/>
          <w:rtl w:val="0"/>
        </w:rPr>
        <w:t xml:space="preserve">People who are exposed to High pollution have a </w:t>
      </w:r>
      <w:r w:rsidDel="00000000" w:rsidR="00000000" w:rsidRPr="00000000">
        <w:rPr>
          <w:b w:val="1"/>
          <w:sz w:val="28"/>
          <w:szCs w:val="28"/>
          <w:rtl w:val="0"/>
        </w:rPr>
        <w:t xml:space="preserve">139% increased risk</w:t>
      </w:r>
      <w:r w:rsidDel="00000000" w:rsidR="00000000" w:rsidRPr="00000000">
        <w:rPr>
          <w:sz w:val="28"/>
          <w:szCs w:val="28"/>
          <w:rtl w:val="0"/>
        </w:rPr>
        <w:t xml:space="preserve"> of getting the disease than those exposed to low pollution</w:t>
      </w:r>
    </w:p>
    <w:p w:rsidR="00000000" w:rsidDel="00000000" w:rsidP="00000000" w:rsidRDefault="00000000" w:rsidRPr="00000000" w14:paraId="0000002B">
      <w:pPr>
        <w:ind w:left="360" w:firstLine="0"/>
        <w:rPr>
          <w:sz w:val="28"/>
          <w:szCs w:val="28"/>
        </w:rPr>
      </w:pPr>
      <w:r w:rsidDel="00000000" w:rsidR="00000000" w:rsidRPr="00000000">
        <w:rPr>
          <w:sz w:val="28"/>
          <w:szCs w:val="28"/>
          <w:rtl w:val="0"/>
        </w:rPr>
        <w:t xml:space="preserve">2.Case-control study- pancreatic cancer and coffee drinking</w:t>
      </w:r>
    </w:p>
    <w:p w:rsidR="00000000" w:rsidDel="00000000" w:rsidP="00000000" w:rsidRDefault="00000000" w:rsidRPr="00000000" w14:paraId="0000002C">
      <w:pPr>
        <w:ind w:left="360" w:firstLine="0"/>
        <w:rPr>
          <w:sz w:val="28"/>
          <w:szCs w:val="28"/>
        </w:rPr>
      </w:pPr>
      <w:r w:rsidDel="00000000" w:rsidR="00000000" w:rsidRPr="00000000">
        <w:rPr>
          <w:rtl w:val="0"/>
        </w:rPr>
      </w:r>
    </w:p>
    <w:p w:rsidR="00000000" w:rsidDel="00000000" w:rsidP="00000000" w:rsidRDefault="00000000" w:rsidRPr="00000000" w14:paraId="0000002D">
      <w:pPr>
        <w:tabs>
          <w:tab w:val="left" w:pos="3645"/>
        </w:tabs>
        <w:rPr>
          <w:sz w:val="28"/>
          <w:szCs w:val="28"/>
        </w:rPr>
      </w:pPr>
      <w:r w:rsidDel="00000000" w:rsidR="00000000" w:rsidRPr="00000000">
        <w:rPr>
          <w:sz w:val="28"/>
          <w:szCs w:val="28"/>
          <w:rtl w:val="0"/>
        </w:rPr>
        <w:tab/>
        <w:t xml:space="preserve"> pancreatic cancer</w:t>
      </w:r>
    </w:p>
    <w:p w:rsidR="00000000" w:rsidDel="00000000" w:rsidP="00000000" w:rsidRDefault="00000000" w:rsidRPr="00000000" w14:paraId="0000002E">
      <w:pPr>
        <w:tabs>
          <w:tab w:val="left" w:pos="3645"/>
        </w:tabs>
        <w:rPr>
          <w:sz w:val="28"/>
          <w:szCs w:val="28"/>
        </w:rPr>
      </w:pPr>
      <w:r w:rsidDel="00000000" w:rsidR="00000000" w:rsidRPr="00000000">
        <w:rPr>
          <w:sz w:val="28"/>
          <w:szCs w:val="28"/>
          <w:rtl w:val="0"/>
        </w:rPr>
        <w:t xml:space="preserve">                            cases                                         controls</w:t>
      </w:r>
    </w:p>
    <w:tbl>
      <w:tblPr>
        <w:tblStyle w:val="Table2"/>
        <w:tblW w:w="5400.0" w:type="dxa"/>
        <w:jc w:val="left"/>
        <w:tblInd w:w="15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tblGridChange w:id="0">
          <w:tblGrid>
            <w:gridCol w:w="2880"/>
            <w:gridCol w:w="2520"/>
          </w:tblGrid>
        </w:tblGridChange>
      </w:tblGrid>
      <w:tr>
        <w:trPr>
          <w:cantSplit w:val="0"/>
          <w:tblHeader w:val="0"/>
        </w:trPr>
        <w:tc>
          <w:tcPr/>
          <w:p w:rsidR="00000000" w:rsidDel="00000000" w:rsidP="00000000" w:rsidRDefault="00000000" w:rsidRPr="00000000" w14:paraId="0000002F">
            <w:pPr>
              <w:rPr>
                <w:sz w:val="28"/>
                <w:szCs w:val="28"/>
              </w:rPr>
            </w:pPr>
            <w:r w:rsidDel="00000000" w:rsidR="00000000" w:rsidRPr="00000000">
              <w:rPr>
                <w:sz w:val="28"/>
                <w:szCs w:val="28"/>
                <w:rtl w:val="0"/>
              </w:rPr>
              <w:t xml:space="preserve">28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-1777999</wp:posOffset>
                      </wp:positionH>
                      <wp:positionV relativeFrom="paragraph">
                        <wp:posOffset>0</wp:posOffset>
                      </wp:positionV>
                      <wp:extent cx="626745" cy="347980"/>
                      <wp:effectExtent b="0" l="0" r="0" t="0"/>
                      <wp:wrapNone/>
                      <wp:docPr id="1" name=""/>
                      <a:graphic>
                        <a:graphicData uri="http://schemas.microsoft.com/office/word/2010/wordprocessingShape">
                          <wps:wsp>
                            <wps:cNvSpPr/>
                            <wps:cNvPr id="2" name="Shape 2"/>
                            <wps:spPr>
                              <a:xfrm>
                                <a:off x="5037390" y="3610773"/>
                                <a:ext cx="617220" cy="3384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Coffee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-1777999</wp:posOffset>
                      </wp:positionH>
                      <wp:positionV relativeFrom="paragraph">
                        <wp:posOffset>0</wp:posOffset>
                      </wp:positionV>
                      <wp:extent cx="626745" cy="34798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6745" cy="347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0</wp:posOffset>
                      </wp:positionV>
                      <wp:extent cx="923925" cy="923925"/>
                      <wp:effectExtent b="0" l="0" r="0" t="0"/>
                      <wp:wrapNone/>
                      <wp:docPr id="3" name=""/>
                      <a:graphic>
                        <a:graphicData uri="http://schemas.microsoft.com/office/word/2010/wordprocessingShape">
                          <wps:wsp>
                            <wps:cNvSpPr/>
                            <wps:cNvPr id="4" name="Shape 4"/>
                            <wps:spPr>
                              <a:xfrm>
                                <a:off x="4888800" y="3322800"/>
                                <a:ext cx="914400" cy="914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Yes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0</wp:posOffset>
                      </wp:positionV>
                      <wp:extent cx="923925" cy="92392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23925" cy="923925"/>
                              </a:xfrm>
                              <a:prstGeom prst="rect"/>
                              <a:ln/>
                            </pic:spPr>
                          </pic:pic>
                        </a:graphicData>
                      </a:graphic>
                    </wp:anchor>
                  </w:drawing>
                </mc:Fallback>
              </mc:AlternateContent>
            </w:r>
          </w:p>
        </w:tc>
        <w:tc>
          <w:tcPr/>
          <w:p w:rsidR="00000000" w:rsidDel="00000000" w:rsidP="00000000" w:rsidRDefault="00000000" w:rsidRPr="00000000" w14:paraId="00000030">
            <w:pPr>
              <w:rPr>
                <w:sz w:val="28"/>
                <w:szCs w:val="28"/>
              </w:rPr>
            </w:pPr>
            <w:r w:rsidDel="00000000" w:rsidR="00000000" w:rsidRPr="00000000">
              <w:rPr>
                <w:sz w:val="28"/>
                <w:szCs w:val="28"/>
                <w:rtl w:val="0"/>
              </w:rPr>
              <w:t xml:space="preserve">280</w:t>
            </w:r>
          </w:p>
        </w:tc>
      </w:tr>
      <w:tr>
        <w:trPr>
          <w:cantSplit w:val="0"/>
          <w:tblHeader w:val="0"/>
        </w:trPr>
        <w:tc>
          <w:tcPr/>
          <w:p w:rsidR="00000000" w:rsidDel="00000000" w:rsidP="00000000" w:rsidRDefault="00000000" w:rsidRPr="00000000" w14:paraId="00000031">
            <w:pPr>
              <w:rPr>
                <w:sz w:val="28"/>
                <w:szCs w:val="28"/>
              </w:rPr>
            </w:pPr>
            <w:r w:rsidDel="00000000" w:rsidR="00000000" w:rsidRPr="00000000">
              <w:rPr>
                <w:sz w:val="28"/>
                <w:szCs w:val="28"/>
                <w:rtl w:val="0"/>
              </w:rPr>
              <w:t xml:space="preserve">140</w:t>
            </w:r>
          </w:p>
        </w:tc>
        <w:tc>
          <w:tcPr/>
          <w:p w:rsidR="00000000" w:rsidDel="00000000" w:rsidP="00000000" w:rsidRDefault="00000000" w:rsidRPr="00000000" w14:paraId="00000032">
            <w:pPr>
              <w:rPr>
                <w:sz w:val="28"/>
                <w:szCs w:val="28"/>
              </w:rPr>
            </w:pPr>
            <w:r w:rsidDel="00000000" w:rsidR="00000000" w:rsidRPr="00000000">
              <w:rPr>
                <w:sz w:val="28"/>
                <w:szCs w:val="28"/>
                <w:rtl w:val="0"/>
              </w:rPr>
              <w:t xml:space="preserve">2600</w:t>
            </w:r>
          </w:p>
        </w:tc>
      </w:tr>
    </w:tbl>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05" w:right="0" w:hanging="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2880</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ind w:left="720" w:firstLine="0"/>
        <w:rPr>
          <w:sz w:val="28"/>
          <w:szCs w:val="28"/>
        </w:rPr>
      </w:pPr>
      <w:r w:rsidDel="00000000" w:rsidR="00000000" w:rsidRPr="00000000">
        <w:rPr>
          <w:sz w:val="28"/>
          <w:szCs w:val="28"/>
          <w:rtl w:val="0"/>
        </w:rPr>
        <w:t xml:space="preserve">Please calculate the odds ratio(OR) what do you conclude?</w:t>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bookmarkStart w:colFirst="0" w:colLast="0" w:name="_gjdgxs" w:id="0"/>
      <w:bookmarkEnd w:id="0"/>
      <w:r w:rsidDel="00000000" w:rsidR="00000000" w:rsidRPr="00000000">
        <w:rPr>
          <w:sz w:val="28"/>
          <w:szCs w:val="28"/>
          <w:rtl w:val="0"/>
        </w:rPr>
        <w:t xml:space="preserve">OR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Odds of exposure among cases</m:t>
            </m:r>
          </m:num>
          <m:den>
            <m:r>
              <w:rPr>
                <w:rFonts w:ascii="Cambria Math" w:cs="Cambria Math" w:eastAsia="Cambria Math" w:hAnsi="Cambria Math"/>
                <w:sz w:val="28"/>
                <w:szCs w:val="28"/>
              </w:rPr>
              <m:t xml:space="preserve">Odds of exposure among controls</m:t>
            </m:r>
          </m:den>
        </m:f>
        <m:r>
          <w:rPr>
            <w:rFonts w:ascii="Cambria Math" w:cs="Cambria Math" w:eastAsia="Cambria Math" w:hAnsi="Cambria Math"/>
            <w:sz w:val="28"/>
            <w:szCs w:val="28"/>
          </w:rPr>
          <m:t xml:space="preserve">=</m:t>
        </m:r>
        <m:f>
          <m:fPr>
            <m:ctrlPr>
              <w:rPr/>
            </m:ctrlPr>
          </m:fPr>
          <m:num>
            <m:r>
              <w:rPr>
                <w:rFonts w:ascii="Cambria Math" w:cs="Cambria Math" w:eastAsia="Cambria Math" w:hAnsi="Cambria Math"/>
                <w:sz w:val="28"/>
                <w:szCs w:val="28"/>
              </w:rPr>
              <m:t xml:space="preserve">28÷140</m:t>
            </m:r>
          </m:num>
          <m:den>
            <m:r>
              <w:rPr>
                <w:rFonts w:ascii="Cambria Math" w:cs="Cambria Math" w:eastAsia="Cambria Math" w:hAnsi="Cambria Math"/>
                <w:sz w:val="28"/>
                <w:szCs w:val="28"/>
              </w:rPr>
              <m:t xml:space="preserve">280÷2600 </m:t>
            </m:r>
            <m:r>
              <w:rPr/>
              <m:t xml:space="preserve">  </m:t>
            </m:r>
          </m:den>
        </m:f>
        <m:r>
          <w:rPr>
            <w:rFonts w:ascii="Cambria Math" w:cs="Cambria Math" w:eastAsia="Cambria Math" w:hAnsi="Cambria Math"/>
            <w:sz w:val="28"/>
            <w:szCs w:val="28"/>
          </w:rPr>
          <m:t xml:space="preserve">=1.857</m:t>
        </m:r>
      </m:oMath>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68"/>
      <w:numFmt w:val="decimal"/>
      <w:lvlText w:val="%1"/>
      <w:lvlJc w:val="left"/>
      <w:pPr>
        <w:ind w:left="1905" w:hanging="450"/>
      </w:pPr>
      <w:rPr/>
    </w:lvl>
    <w:lvl w:ilvl="1">
      <w:start w:val="1"/>
      <w:numFmt w:val="lowerLetter"/>
      <w:lvlText w:val="%2."/>
      <w:lvlJc w:val="left"/>
      <w:pPr>
        <w:ind w:left="2535" w:hanging="360"/>
      </w:pPr>
      <w:rPr/>
    </w:lvl>
    <w:lvl w:ilvl="2">
      <w:start w:val="1"/>
      <w:numFmt w:val="lowerRoman"/>
      <w:lvlText w:val="%3."/>
      <w:lvlJc w:val="right"/>
      <w:pPr>
        <w:ind w:left="3255" w:hanging="180"/>
      </w:pPr>
      <w:rPr/>
    </w:lvl>
    <w:lvl w:ilvl="3">
      <w:start w:val="1"/>
      <w:numFmt w:val="decimal"/>
      <w:lvlText w:val="%4."/>
      <w:lvlJc w:val="left"/>
      <w:pPr>
        <w:ind w:left="3975" w:hanging="360"/>
      </w:pPr>
      <w:rPr/>
    </w:lvl>
    <w:lvl w:ilvl="4">
      <w:start w:val="1"/>
      <w:numFmt w:val="lowerLetter"/>
      <w:lvlText w:val="%5."/>
      <w:lvlJc w:val="left"/>
      <w:pPr>
        <w:ind w:left="4695" w:hanging="360"/>
      </w:pPr>
      <w:rPr/>
    </w:lvl>
    <w:lvl w:ilvl="5">
      <w:start w:val="1"/>
      <w:numFmt w:val="lowerRoman"/>
      <w:lvlText w:val="%6."/>
      <w:lvlJc w:val="right"/>
      <w:pPr>
        <w:ind w:left="5415" w:hanging="180"/>
      </w:pPr>
      <w:rPr/>
    </w:lvl>
    <w:lvl w:ilvl="6">
      <w:start w:val="1"/>
      <w:numFmt w:val="decimal"/>
      <w:lvlText w:val="%7."/>
      <w:lvlJc w:val="left"/>
      <w:pPr>
        <w:ind w:left="6135" w:hanging="360"/>
      </w:pPr>
      <w:rPr/>
    </w:lvl>
    <w:lvl w:ilvl="7">
      <w:start w:val="1"/>
      <w:numFmt w:val="lowerLetter"/>
      <w:lvlText w:val="%8."/>
      <w:lvlJc w:val="left"/>
      <w:pPr>
        <w:ind w:left="6855" w:hanging="360"/>
      </w:pPr>
      <w:rPr/>
    </w:lvl>
    <w:lvl w:ilvl="8">
      <w:start w:val="1"/>
      <w:numFmt w:val="lowerRoman"/>
      <w:lvlText w:val="%9."/>
      <w:lvlJc w:val="right"/>
      <w:pPr>
        <w:ind w:left="7575"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