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Study Guide for Calcium and Magnesium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PHAR 421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9.1 Calcium overview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9.1.1 osteoclasts vs. osteoblasts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9.1.2 Metabolic bone disorders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9.1.3 Bone stores and peak bone mass, control of plasma calcium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Figure 9.3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9.1.4 Factors affecting the bioavailability of Calcium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Figure 9.5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9.1.5 dietary sources of calcium, calcium supplementation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Special topics (from lecturer)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Weight training and bone mass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Loss of Bone mass and age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9.2 Magnesium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9.2.1 distribution and function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9.2.2 metabolism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9.2.3 sources of magnesium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9.2.4 Table 9.3 and Table 9.4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9.2.5 excess magnesium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