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7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Medicinal Chemistry 1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Amin Thawabteh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425"/>
        </w:tabs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The difference between two structures in one side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baseline"/>
          <w:rtl w:val="0"/>
        </w:rPr>
        <w:t xml:space="preserve">NH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– Amino Group- for structure 1 (S1)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sub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- Ethyl Group- for Structure 2 (S2), so for the S1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baseline"/>
          <w:rtl w:val="0"/>
        </w:rPr>
        <w:t xml:space="preserve">NH2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make Hydrogen Bond and fit Cholinergic Receptor. On the other hand, S2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sub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single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consider as big molecule, then do Steric Hindrance.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Functional group for Isoprenaline make it selective for B-receptors, and free catechol OH keep it susceptible to Enzymatic Metabolism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2"/>
          <w:szCs w:val="22"/>
          <w:highlight w:val="white"/>
          <w:u w:val="single"/>
          <w:vertAlign w:val="baseline"/>
          <w:rtl w:val="0"/>
        </w:rPr>
        <w:t xml:space="preserve">(This information from Chegg Website)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2"/>
          <w:szCs w:val="22"/>
          <w:highlight w:val="white"/>
          <w:u w:val="none"/>
          <w:vertAlign w:val="baseline"/>
          <w:rtl w:val="0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From SAR the existence of OH in the molecule can form a H-Bond –Two Hydrogen bond- On the other hand, inactive metabolite one of  OH convert to methylated and this will not form H-Bone, and this mean the other one OH will form H-Bond only and hence B-receptor mechanism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2"/>
          <w:szCs w:val="22"/>
          <w:highlight w:val="white"/>
          <w:u w:val="none"/>
          <w:vertAlign w:val="baseline"/>
          <w:rtl w:val="0"/>
        </w:rPr>
        <w:t xml:space="preserve">fails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Tamoxifen is widely used as Breast Cancer Therapeutic and Preventative Agent, because it can form 2 H-Bond by Phenols, and Hydrophobic Carbon Skeleton form Van Der Waals and Hydrophobic interactions with other regions.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2"/>
          <w:szCs w:val="22"/>
          <w:highlight w:val="white"/>
          <w:u w:val="single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480"/>
        </w:tabs>
        <w:rPr>
          <w:color w:val="2d3639"/>
          <w:sz w:val="18"/>
          <w:szCs w:val="18"/>
          <w:highlight w:val="white"/>
        </w:rPr>
      </w:pPr>
      <w:r w:rsidDel="00000000" w:rsidR="00000000" w:rsidRPr="00000000">
        <w:rPr>
          <w:color w:val="2d3639"/>
          <w:highlight w:val="whit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0">
      <w:pPr>
        <w:tabs>
          <w:tab w:val="left" w:pos="38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