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1809750</wp:posOffset>
            </wp:positionH>
            <wp:positionV relativeFrom="paragraph">
              <wp:posOffset>-385444</wp:posOffset>
            </wp:positionV>
            <wp:extent cx="2192655" cy="1028700"/>
            <wp:effectExtent b="0" l="0" r="0" t="0"/>
            <wp:wrapSquare wrapText="bothSides" distB="0" distT="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59601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4">
      <w:pPr>
        <w:tabs>
          <w:tab w:val="left" w:pos="742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Homework 5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Bio pharmaceutics &amp; Pharmacokinetics/PHAR434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Instructor Abdullah Rabba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name and I.D  Muhammad Musleh /1162595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808000"/>
          <w:sz w:val="20"/>
          <w:szCs w:val="2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The data in Table 16-22 represent the average findings in antibiotic plasma samples taken from 10 humans (average weight 70 kg), tabulated in a 4-way crossover design.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A.Which of the four drug products in Table 16-22 would be preferred as a reference standard for the determination of relative bioavailability? Why?</w:t>
      </w:r>
    </w:p>
    <w:p w:rsidR="00000000" w:rsidDel="00000000" w:rsidP="00000000" w:rsidRDefault="00000000" w:rsidRPr="00000000" w14:paraId="00000015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B. From which oral drug product is the drug absorbed more rapidly?</w:t>
      </w:r>
    </w:p>
    <w:p w:rsidR="00000000" w:rsidDel="00000000" w:rsidP="00000000" w:rsidRDefault="00000000" w:rsidRPr="00000000" w14:paraId="00000016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C. What is the absolute bioavailability of the drug from the oral solution?</w:t>
      </w:r>
    </w:p>
    <w:p w:rsidR="00000000" w:rsidDel="00000000" w:rsidP="00000000" w:rsidRDefault="00000000" w:rsidRPr="00000000" w14:paraId="00000017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D. What is the relative bioavailability of the drug from the oral tablet compared to the reference standard?</w:t>
      </w:r>
    </w:p>
    <w:p w:rsidR="00000000" w:rsidDel="00000000" w:rsidP="00000000" w:rsidRDefault="00000000" w:rsidRPr="00000000" w14:paraId="00000018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E. From the data in Table 16-22, determine:</w:t>
      </w:r>
    </w:p>
    <w:p w:rsidR="00000000" w:rsidDel="00000000" w:rsidP="00000000" w:rsidRDefault="00000000" w:rsidRPr="00000000" w14:paraId="00000019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          (i) Apparent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VD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          (ii) Elimination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t1/2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          (iii) First-order elimination rate constant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          (iv) Total body clearance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w:drawing>
          <wp:inline distB="0" distT="0" distL="0" distR="0">
            <wp:extent cx="5943600" cy="360553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5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-628649</wp:posOffset>
            </wp:positionH>
            <wp:positionV relativeFrom="paragraph">
              <wp:posOffset>-647699</wp:posOffset>
            </wp:positionV>
            <wp:extent cx="7273925" cy="4343400"/>
            <wp:effectExtent b="88900" l="88900" r="88900" t="88900"/>
            <wp:wrapSquare wrapText="bothSides" distB="0" distT="0" distL="114300" distR="11430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3846" r="6249" t="4558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4343400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-690244</wp:posOffset>
            </wp:positionH>
            <wp:positionV relativeFrom="paragraph">
              <wp:posOffset>3895725</wp:posOffset>
            </wp:positionV>
            <wp:extent cx="7343775" cy="4346575"/>
            <wp:effectExtent b="88900" l="88900" r="88900" t="88900"/>
            <wp:wrapSquare wrapText="bothSides" distB="0" distT="0" distL="114300" distR="11430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3417" l="7210" r="7853" t="1711"/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4346575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-552449</wp:posOffset>
            </wp:positionH>
            <wp:positionV relativeFrom="paragraph">
              <wp:posOffset>-95249</wp:posOffset>
            </wp:positionV>
            <wp:extent cx="6905625" cy="4013200"/>
            <wp:effectExtent b="88900" l="88900" r="88900" t="88900"/>
            <wp:wrapSquare wrapText="bothSides" distB="0" distT="0" distL="114300" distR="114300"/>
            <wp:docPr id="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 b="10219" l="6021" r="7220" t="6568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4013200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tabs>
          <w:tab w:val="left" w:pos="276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-691514</wp:posOffset>
            </wp:positionH>
            <wp:positionV relativeFrom="paragraph">
              <wp:posOffset>-634</wp:posOffset>
            </wp:positionV>
            <wp:extent cx="7244715" cy="3905250"/>
            <wp:effectExtent b="88900" l="88900" r="88900" t="8890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11681" l="6570" r="2884" t="8547"/>
                    <a:stretch>
                      <a:fillRect/>
                    </a:stretch>
                  </pic:blipFill>
                  <pic:spPr>
                    <a:xfrm>
                      <a:off x="0" y="0"/>
                      <a:ext cx="7244715" cy="3905250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6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