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-338454</wp:posOffset>
            </wp:positionV>
            <wp:extent cx="2192655" cy="102870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59601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3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3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 pharmaceutics &amp; Pharmacokinetics/PHAR434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Abdullah Rabba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antibiotic is to be given to an adult male patient (58 years, 75 kg) by IV infusion. The elimination half-life is 8 hours and the apparent volume of distribution is 1.5 L/kg. The drug is supplied in 60-mL ampules at a drug concentration of 15 mg/mL. The desired steady-state drug concentration is 20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mc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g/mL.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What infusion rate in mg/h would you recommend for this patient?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What loading dose would you recommend for this patient? By what route of administration would you give the loading dose? When?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Why should a loading dose be recommended?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According to the manufacturer, the recommended starting infusion rate is 15 mL/h. Do you agree with this recommended infusion rate for your patient? Give a reason for your answer.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If you were to monitor the patient’s serum drug concentration, when would you request a blood sample? Give a reason for your answer.</w:t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 The observed serum drug concentration is higher than anticipated. Give two possible reasons based on sound pharmacokinetic principles that would account for this observation.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117475</wp:posOffset>
            </wp:positionH>
            <wp:positionV relativeFrom="paragraph">
              <wp:posOffset>12065</wp:posOffset>
            </wp:positionV>
            <wp:extent cx="5738495" cy="4618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11368" r="26113" t="4795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4618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22226</wp:posOffset>
            </wp:positionH>
            <wp:positionV relativeFrom="paragraph">
              <wp:posOffset>3587750</wp:posOffset>
            </wp:positionV>
            <wp:extent cx="6400800" cy="4208780"/>
            <wp:effectExtent b="0" l="0" r="0" t="0"/>
            <wp:wrapSquare wrapText="bothSides" distB="0" distT="0" distL="114300" distR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10650" r="7942" t="353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08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29211</wp:posOffset>
            </wp:positionH>
            <wp:positionV relativeFrom="paragraph">
              <wp:posOffset>-594994</wp:posOffset>
            </wp:positionV>
            <wp:extent cx="6405880" cy="4177665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9565" r="10289" t="7060"/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4177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3820" w:w="12060" w:orient="portrait"/>
      <w:pgMar w:bottom="986" w:top="1027" w:left="1154" w:right="5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