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bidi w:val="1"/>
        <w:ind w:left="900" w:firstLine="0"/>
        <w:rPr>
          <w:b w:val="1"/>
          <w:sz w:val="24"/>
          <w:szCs w:val="24"/>
        </w:rPr>
      </w:pPr>
      <w:bookmarkStart w:colFirst="0" w:colLast="0" w:name="_gjdgxs" w:id="0"/>
      <w:bookmarkEnd w:id="0"/>
      <w:r w:rsidDel="00000000" w:rsidR="00000000" w:rsidRPr="00000000">
        <w:rPr>
          <w:sz w:val="24"/>
          <w:szCs w:val="24"/>
        </w:rPr>
        <w:drawing>
          <wp:inline distB="0" distT="0" distL="114300" distR="114300">
            <wp:extent cx="2105025" cy="581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5025" cy="581025"/>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r w:rsidDel="00000000" w:rsidR="00000000" w:rsidRPr="00000000">
        <w:rPr>
          <w:b w:val="1"/>
          <w:sz w:val="24"/>
          <w:szCs w:val="24"/>
          <w:rtl w:val="1"/>
        </w:rPr>
        <w:t xml:space="preserve">14، </w:t>
      </w:r>
      <w:r w:rsidDel="00000000" w:rsidR="00000000" w:rsidRPr="00000000">
        <w:rPr>
          <w:b w:val="1"/>
          <w:sz w:val="24"/>
          <w:szCs w:val="24"/>
          <w:rtl w:val="1"/>
        </w:rPr>
        <w:t xml:space="preserve">بيرزيـت</w:t>
      </w:r>
      <w:r w:rsidDel="00000000" w:rsidR="00000000" w:rsidRPr="00000000">
        <w:rPr>
          <w:b w:val="1"/>
          <w:sz w:val="24"/>
          <w:szCs w:val="24"/>
          <w:rtl w:val="1"/>
        </w:rPr>
        <w:t xml:space="preserve">، </w:t>
      </w:r>
      <w:r w:rsidDel="00000000" w:rsidR="00000000" w:rsidRPr="00000000">
        <w:rPr>
          <w:b w:val="1"/>
          <w:sz w:val="24"/>
          <w:szCs w:val="24"/>
          <w:rtl w:val="1"/>
        </w:rPr>
        <w:t xml:space="preserve">فلسطين</w:t>
      </w:r>
      <w:r w:rsidDel="00000000" w:rsidR="00000000" w:rsidRPr="00000000">
        <w:rPr>
          <w:b w:val="1"/>
          <w:sz w:val="24"/>
          <w:szCs w:val="24"/>
          <w:rtl w:val="1"/>
        </w:rPr>
        <w:t xml:space="preserve">،2982093 </w:t>
      </w:r>
      <w:r w:rsidDel="00000000" w:rsidR="00000000" w:rsidRPr="00000000">
        <w:rPr>
          <w:b w:val="1"/>
          <w:sz w:val="24"/>
          <w:szCs w:val="24"/>
          <w:rtl w:val="0"/>
        </w:rPr>
        <w:t xml:space="preserve">🕾  🖶    02-2298201702- </w:t>
      </w:r>
    </w:p>
    <w:p w:rsidR="00000000" w:rsidDel="00000000" w:rsidP="00000000" w:rsidRDefault="00000000" w:rsidRPr="00000000" w14:paraId="00000002">
      <w:pPr>
        <w:jc w:val="center"/>
        <w:rPr>
          <w:rFonts w:ascii="Calibri" w:cs="Calibri" w:eastAsia="Calibri" w:hAnsi="Calibri"/>
          <w:color w:val="000000"/>
        </w:rPr>
      </w:pPr>
      <w:r w:rsidDel="00000000" w:rsidR="00000000" w:rsidRPr="00000000">
        <w:rPr>
          <w:rFonts w:ascii="Calibri" w:cs="Calibri" w:eastAsia="Calibri" w:hAnsi="Calibri"/>
          <w:b w:val="1"/>
          <w:color w:val="000000"/>
          <w:sz w:val="36"/>
          <w:szCs w:val="36"/>
          <w:u w:val="single"/>
          <w:rtl w:val="0"/>
        </w:rPr>
        <w:t xml:space="preserve">Suppositories</w:t>
      </w:r>
      <w:bookmarkStart w:colFirst="0" w:colLast="0" w:name="30j0zll" w:id="1"/>
      <w:bookmarkEnd w:id="1"/>
      <w:r w:rsidDel="00000000" w:rsidR="00000000" w:rsidRPr="00000000">
        <w:rPr>
          <w:rtl w:val="0"/>
        </w:rPr>
      </w:r>
    </w:p>
    <w:p w:rsidR="00000000" w:rsidDel="00000000" w:rsidP="00000000" w:rsidRDefault="00000000" w:rsidRPr="00000000" w14:paraId="00000003">
      <w:pPr>
        <w:spacing w:after="100" w:before="100" w:lineRule="auto"/>
        <w:jc w:val="both"/>
        <w:rPr>
          <w:color w:val="000000"/>
          <w:sz w:val="24"/>
          <w:szCs w:val="24"/>
        </w:rPr>
      </w:pPr>
      <w:r w:rsidDel="00000000" w:rsidR="00000000" w:rsidRPr="00000000">
        <w:rPr>
          <w:color w:val="332e20"/>
          <w:sz w:val="24"/>
          <w:szCs w:val="24"/>
          <w:rtl w:val="0"/>
        </w:rPr>
        <w:t xml:space="preserve">Suppositories are medicated, solid bodies of various sizes and shapes suitable for introduction into body cavities. The medicament is incorporated into a base such as cocoa butter, which melts at body temperature, or into one such as glycerinated gelatin or PEG, which slowly dissolves in the mucous secretions. Suppositories are suited particularly for producing local action, but may also be used to produce a systemic effect or to exert a mechanical effect to facilitate emptying the lower bowel.</w:t>
      </w: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color w:val="332e20"/>
          <w:sz w:val="24"/>
          <w:szCs w:val="24"/>
          <w:rtl w:val="0"/>
        </w:rPr>
        <w:t xml:space="preserve">The ideal suppository base should be nontoxic, nonirritating, inert, compatible with medicaments, and easily formed by compression or molding. It should also dissolve or disintegrate in the presence of mucous secretions or melt at body temperature to allow for the release of the medication. As with the ointment bases, suppository base composition plays an important role in both the rate and extent of release of medications.</w:t>
      </w:r>
      <w:r w:rsidDel="00000000" w:rsidR="00000000" w:rsidRPr="00000000">
        <w:rPr>
          <w:rtl w:val="0"/>
        </w:rPr>
      </w:r>
    </w:p>
    <w:p w:rsidR="00000000" w:rsidDel="00000000" w:rsidP="00000000" w:rsidRDefault="00000000" w:rsidRPr="00000000" w14:paraId="00000005">
      <w:pPr>
        <w:spacing w:after="0" w:lineRule="auto"/>
        <w:jc w:val="both"/>
        <w:rPr>
          <w:color w:val="000000"/>
          <w:sz w:val="24"/>
          <w:szCs w:val="24"/>
        </w:rPr>
      </w:pPr>
      <w:r w:rsidDel="00000000" w:rsidR="00000000" w:rsidRPr="00000000">
        <w:rPr>
          <w:color w:val="332e20"/>
          <w:sz w:val="24"/>
          <w:szCs w:val="24"/>
          <w:rtl w:val="0"/>
        </w:rPr>
        <w:t xml:space="preserve">Routes of Administration That Utilize Suppositories</w:t>
      </w:r>
      <w:r w:rsidDel="00000000" w:rsidR="00000000" w:rsidRPr="00000000">
        <w:rPr>
          <w:rtl w:val="0"/>
        </w:rPr>
      </w:r>
    </w:p>
    <w:p w:rsidR="00000000" w:rsidDel="00000000" w:rsidP="00000000" w:rsidRDefault="00000000" w:rsidRPr="00000000" w14:paraId="00000006">
      <w:pPr>
        <w:spacing w:after="100" w:before="100" w:lineRule="auto"/>
        <w:jc w:val="both"/>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07">
      <w:pPr>
        <w:spacing w:after="0" w:lineRule="auto"/>
        <w:jc w:val="both"/>
        <w:rPr>
          <w:color w:val="000000"/>
          <w:sz w:val="24"/>
          <w:szCs w:val="24"/>
        </w:rPr>
      </w:pPr>
      <w:r w:rsidDel="00000000" w:rsidR="00000000" w:rsidRPr="00000000">
        <w:rPr>
          <w:color w:val="332e20"/>
          <w:sz w:val="24"/>
          <w:szCs w:val="24"/>
          <w:rtl w:val="0"/>
        </w:rPr>
        <w:t xml:space="preserve">1-rectal: Using rectal administration to achieve systemic activity is preferred when the drug is destroyed in the GI tract, if oral administration is not possible because of vomiting, or the patient is unconscious or incapable of swallowing oral formulations,  Rectal suppositories for adults are tapered at one end and usually weigh about 2 grams. Infant rectal suppositories usually weight about 1 gram or about half that of adult </w:t>
      </w:r>
      <w:r w:rsidDel="00000000" w:rsidR="00000000" w:rsidRPr="00000000">
        <w:rPr>
          <w:rtl w:val="0"/>
        </w:rPr>
      </w:r>
    </w:p>
    <w:p w:rsidR="00000000" w:rsidDel="00000000" w:rsidP="00000000" w:rsidRDefault="00000000" w:rsidRPr="00000000" w14:paraId="00000008">
      <w:pPr>
        <w:spacing w:after="100" w:before="10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9">
      <w:pPr>
        <w:spacing w:after="0" w:lineRule="auto"/>
        <w:jc w:val="both"/>
        <w:rPr>
          <w:color w:val="000000"/>
          <w:sz w:val="24"/>
          <w:szCs w:val="24"/>
        </w:rPr>
      </w:pPr>
      <w:r w:rsidDel="00000000" w:rsidR="00000000" w:rsidRPr="00000000">
        <w:rPr>
          <w:color w:val="332e20"/>
          <w:sz w:val="24"/>
          <w:szCs w:val="24"/>
          <w:rtl w:val="0"/>
        </w:rPr>
        <w:t xml:space="preserve">2-vaginal: The suppositories are usually globular, oviform, or cone-shaped and weigh between 3 - 5 grams.</w:t>
      </w:r>
      <w:r w:rsidDel="00000000" w:rsidR="00000000" w:rsidRPr="00000000">
        <w:rPr>
          <w:rtl w:val="0"/>
        </w:rPr>
      </w:r>
    </w:p>
    <w:p w:rsidR="00000000" w:rsidDel="00000000" w:rsidP="00000000" w:rsidRDefault="00000000" w:rsidRPr="00000000" w14:paraId="0000000A">
      <w:pPr>
        <w:spacing w:after="100" w:before="10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B">
      <w:pPr>
        <w:spacing w:after="0" w:lineRule="auto"/>
        <w:jc w:val="both"/>
        <w:rPr>
          <w:color w:val="332e20"/>
          <w:sz w:val="24"/>
          <w:szCs w:val="24"/>
        </w:rPr>
      </w:pPr>
      <w:r w:rsidDel="00000000" w:rsidR="00000000" w:rsidRPr="00000000">
        <w:rPr>
          <w:color w:val="332e20"/>
          <w:sz w:val="24"/>
          <w:szCs w:val="24"/>
          <w:rtl w:val="0"/>
        </w:rPr>
        <w:t xml:space="preserve">3-urethral: Traditionally, they are cylindrical in shape (3 - 6 mm in diameter) and vary in length according to gender. Female urethral suppositories can be 25 - 70 mm in length while male urethral suppositories can be about 50 - 125 mm in length.</w:t>
      </w:r>
    </w:p>
    <w:p w:rsidR="00000000" w:rsidDel="00000000" w:rsidP="00000000" w:rsidRDefault="00000000" w:rsidRPr="00000000" w14:paraId="0000000C">
      <w:pPr>
        <w:spacing w:after="0" w:lineRule="auto"/>
        <w:jc w:val="both"/>
        <w:rPr>
          <w:color w:val="332e20"/>
          <w:sz w:val="24"/>
          <w:szCs w:val="24"/>
        </w:rPr>
      </w:pPr>
      <w:r w:rsidDel="00000000" w:rsidR="00000000" w:rsidRPr="00000000">
        <w:rPr>
          <w:rtl w:val="0"/>
        </w:rPr>
      </w:r>
    </w:p>
    <w:p w:rsidR="00000000" w:rsidDel="00000000" w:rsidP="00000000" w:rsidRDefault="00000000" w:rsidRPr="00000000" w14:paraId="0000000D">
      <w:pPr>
        <w:spacing w:after="0" w:lineRule="auto"/>
        <w:jc w:val="both"/>
        <w:rPr>
          <w:color w:val="332e20"/>
          <w:sz w:val="24"/>
          <w:szCs w:val="24"/>
        </w:rPr>
      </w:pPr>
      <w:r w:rsidDel="00000000" w:rsidR="00000000" w:rsidRPr="00000000">
        <w:rPr>
          <w:rtl w:val="0"/>
        </w:rPr>
      </w:r>
    </w:p>
    <w:p w:rsidR="00000000" w:rsidDel="00000000" w:rsidP="00000000" w:rsidRDefault="00000000" w:rsidRPr="00000000" w14:paraId="0000000E">
      <w:pPr>
        <w:spacing w:after="0" w:lineRule="auto"/>
        <w:jc w:val="both"/>
        <w:rPr>
          <w:color w:val="332e20"/>
          <w:sz w:val="24"/>
          <w:szCs w:val="24"/>
        </w:rPr>
      </w:pPr>
      <w:r w:rsidDel="00000000" w:rsidR="00000000" w:rsidRPr="00000000">
        <w:rPr>
          <w:rtl w:val="0"/>
        </w:rPr>
      </w:r>
    </w:p>
    <w:p w:rsidR="00000000" w:rsidDel="00000000" w:rsidP="00000000" w:rsidRDefault="00000000" w:rsidRPr="00000000" w14:paraId="0000000F">
      <w:pP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0">
      <w:pPr>
        <w:spacing w:after="0" w:lineRule="auto"/>
        <w:jc w:val="center"/>
        <w:rPr>
          <w:b w:val="1"/>
          <w:color w:val="000000"/>
          <w:sz w:val="24"/>
          <w:szCs w:val="24"/>
        </w:rPr>
      </w:pPr>
      <w:r w:rsidDel="00000000" w:rsidR="00000000" w:rsidRPr="00000000">
        <w:rPr>
          <w:b w:val="1"/>
          <w:color w:val="332e20"/>
          <w:sz w:val="24"/>
          <w:szCs w:val="24"/>
          <w:rtl w:val="0"/>
        </w:rPr>
        <w:t xml:space="preserve">Methods of Preparation</w:t>
      </w:r>
      <w:r w:rsidDel="00000000" w:rsidR="00000000" w:rsidRPr="00000000">
        <w:rPr>
          <w:rtl w:val="0"/>
        </w:rPr>
      </w:r>
    </w:p>
    <w:p w:rsidR="00000000" w:rsidDel="00000000" w:rsidP="00000000" w:rsidRDefault="00000000" w:rsidRPr="00000000" w14:paraId="00000011">
      <w:pPr>
        <w:spacing w:after="100" w:before="100" w:lineRule="auto"/>
        <w:jc w:val="both"/>
        <w:rPr>
          <w:color w:val="000000"/>
          <w:sz w:val="24"/>
          <w:szCs w:val="24"/>
        </w:rPr>
      </w:pPr>
      <w:r w:rsidDel="00000000" w:rsidR="00000000" w:rsidRPr="00000000">
        <w:rPr>
          <w:b w:val="1"/>
          <w:color w:val="332e20"/>
          <w:sz w:val="24"/>
          <w:szCs w:val="24"/>
          <w:rtl w:val="0"/>
        </w:rPr>
        <w:t xml:space="preserve">Suppositories can be prepared extemporaneously by one of three methods.</w:t>
      </w:r>
      <w:r w:rsidDel="00000000" w:rsidR="00000000" w:rsidRPr="00000000">
        <w:rPr>
          <w:rtl w:val="0"/>
        </w:rPr>
      </w:r>
    </w:p>
    <w:p w:rsidR="00000000" w:rsidDel="00000000" w:rsidP="00000000" w:rsidRDefault="00000000" w:rsidRPr="00000000" w14:paraId="00000012">
      <w:pPr>
        <w:spacing w:after="100" w:before="100" w:lineRule="auto"/>
        <w:jc w:val="both"/>
        <w:rPr>
          <w:color w:val="000000"/>
          <w:sz w:val="24"/>
          <w:szCs w:val="24"/>
        </w:rPr>
      </w:pPr>
      <w:r w:rsidDel="00000000" w:rsidR="00000000" w:rsidRPr="00000000">
        <w:rPr>
          <w:b w:val="1"/>
          <w:color w:val="332e20"/>
          <w:sz w:val="24"/>
          <w:szCs w:val="24"/>
          <w:rtl w:val="0"/>
        </w:rPr>
        <w:t xml:space="preserve">1. Hand Rolling </w:t>
      </w:r>
      <w:r w:rsidDel="00000000" w:rsidR="00000000" w:rsidRPr="00000000">
        <w:rPr>
          <w:color w:val="332e20"/>
          <w:sz w:val="24"/>
          <w:szCs w:val="24"/>
          <w:rtl w:val="0"/>
        </w:rPr>
        <w:t xml:space="preserve">is the oldest and simplest method of suppository preparation and may be used when only a few suppositories are to be prepared in a cocoa butter base. It has the advantage of avoiding the necessity of heating the cocoa butter. A plastic-like mass is prepared by triturating grated cocoa butter and active ingredients in a mortar. The mass is formed into a ball in the palm of the hands, then rolled into a uniform cylinder with a large spatula or small flat board on a pill tile. The cylinder is then cut into the appropriate number of pieces which are rolled on one end to produce a conical shape.</w:t>
      </w:r>
      <w:r w:rsidDel="00000000" w:rsidR="00000000" w:rsidRPr="00000000">
        <w:rPr>
          <w:rtl w:val="0"/>
        </w:rPr>
      </w:r>
    </w:p>
    <w:p w:rsidR="00000000" w:rsidDel="00000000" w:rsidP="00000000" w:rsidRDefault="00000000" w:rsidRPr="00000000" w14:paraId="00000013">
      <w:pPr>
        <w:spacing w:after="100" w:before="100" w:lineRule="auto"/>
        <w:jc w:val="both"/>
        <w:rPr>
          <w:color w:val="000000"/>
          <w:sz w:val="24"/>
          <w:szCs w:val="24"/>
        </w:rPr>
      </w:pPr>
      <w:r w:rsidDel="00000000" w:rsidR="00000000" w:rsidRPr="00000000">
        <w:rPr>
          <w:b w:val="1"/>
          <w:color w:val="332e20"/>
          <w:sz w:val="24"/>
          <w:szCs w:val="24"/>
          <w:rtl w:val="0"/>
        </w:rPr>
        <w:t xml:space="preserve">2. Compression Molding </w:t>
      </w:r>
      <w:r w:rsidDel="00000000" w:rsidR="00000000" w:rsidRPr="00000000">
        <w:rPr>
          <w:color w:val="332e20"/>
          <w:sz w:val="24"/>
          <w:szCs w:val="24"/>
          <w:rtl w:val="0"/>
        </w:rPr>
        <w:t xml:space="preserve">is a method of preparing suppositories from a mixed mass of grated suppository base and medicaments which is forced into a special compression mold. The method requires that the capacity of the molds first be determined by compressing a small amount of the base into the dies and weighing the finished suppositories. When active ingredients are added, it is necessary to omit a portion of the suppository base, based on the density factors of the active ingredients.</w:t>
      </w:r>
      <w:r w:rsidDel="00000000" w:rsidR="00000000" w:rsidRPr="00000000">
        <w:rPr>
          <w:rtl w:val="0"/>
        </w:rPr>
      </w:r>
    </w:p>
    <w:p w:rsidR="00000000" w:rsidDel="00000000" w:rsidP="00000000" w:rsidRDefault="00000000" w:rsidRPr="00000000" w14:paraId="00000014">
      <w:pPr>
        <w:spacing w:after="100" w:before="100" w:lineRule="auto"/>
        <w:jc w:val="both"/>
        <w:rPr>
          <w:color w:val="000000"/>
          <w:sz w:val="24"/>
          <w:szCs w:val="24"/>
        </w:rPr>
      </w:pPr>
      <w:r w:rsidDel="00000000" w:rsidR="00000000" w:rsidRPr="00000000">
        <w:rPr>
          <w:b w:val="1"/>
          <w:color w:val="332e20"/>
          <w:sz w:val="24"/>
          <w:szCs w:val="24"/>
          <w:rtl w:val="0"/>
        </w:rPr>
        <w:t xml:space="preserve">3. Fusion Molding </w:t>
      </w:r>
      <w:r w:rsidDel="00000000" w:rsidR="00000000" w:rsidRPr="00000000">
        <w:rPr>
          <w:color w:val="332e20"/>
          <w:sz w:val="24"/>
          <w:szCs w:val="24"/>
          <w:rtl w:val="0"/>
        </w:rPr>
        <w:t xml:space="preserve">involves first melting the suppository base, and then dispersing or dissolving the drug in the melted base. The mixture is removed from the heat and poured into a suppository mold. When the mixture has congealed, the suppositories are removed from the mold. The fusion method can be used with all types of suppositories and must be used with most of them.</w:t>
      </w: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color w:val="332e20"/>
          <w:sz w:val="24"/>
          <w:szCs w:val="24"/>
          <w:rtl w:val="0"/>
        </w:rPr>
        <w:t xml:space="preserve">When a drug is placed in a suppository base, it will displace an amount of base as a function of its density. If the drug has the same density as the base, it will displace an equivalent weight of the base. If the density of the drug is greater than that of the base, it will displace a proportionally smaller weight of the base. Density factors for common drugs in cocoa butter are available in standard reference texts. The density factor is used to determine how much of a base will be displaced by a drug.</w:t>
      </w:r>
      <w:r w:rsidDel="00000000" w:rsidR="00000000" w:rsidRPr="00000000">
        <w:rPr>
          <w:rtl w:val="0"/>
        </w:rPr>
      </w:r>
    </w:p>
    <w:p w:rsidR="00000000" w:rsidDel="00000000" w:rsidP="00000000" w:rsidRDefault="00000000" w:rsidRPr="00000000" w14:paraId="00000016">
      <w:pPr>
        <w:spacing w:after="100" w:before="100" w:lineRule="auto"/>
        <w:jc w:val="both"/>
        <w:rPr>
          <w:color w:val="000000"/>
          <w:sz w:val="24"/>
          <w:szCs w:val="24"/>
        </w:rPr>
      </w:pPr>
      <w:r w:rsidDel="00000000" w:rsidR="00000000" w:rsidRPr="00000000">
        <w:rPr>
          <w:color w:val="332e20"/>
          <w:sz w:val="24"/>
          <w:szCs w:val="24"/>
          <w:rtl w:val="0"/>
        </w:rPr>
        <w:t xml:space="preserve">For example, aspirin has a density factor in cocoa butter of 1.3 (</w:t>
      </w:r>
      <w:r w:rsidDel="00000000" w:rsidR="00000000" w:rsidRPr="00000000">
        <w:rPr>
          <w:i w:val="1"/>
          <w:color w:val="332e20"/>
          <w:sz w:val="24"/>
          <w:szCs w:val="24"/>
          <w:rtl w:val="0"/>
        </w:rPr>
        <w:t xml:space="preserve">see Remington's</w:t>
      </w:r>
      <w:r w:rsidDel="00000000" w:rsidR="00000000" w:rsidRPr="00000000">
        <w:rPr>
          <w:color w:val="332e20"/>
          <w:sz w:val="24"/>
          <w:szCs w:val="24"/>
          <w:rtl w:val="0"/>
        </w:rPr>
        <w:t xml:space="preserve">). If a suppository is to contain 0.3 g of aspirin, it will replace 0.3 g ÷ 1.3 or 0.23 g of cocoa butter. If the blank suppository (suppository without the drug) weighed 2 g, then 2 g - 0.23 g or 1.77 g of cocoa butter will be needed for each suppository, and the suppository will weigh 1.77 g + 0.3 g = 2.07 g. So if a pharmacist was making 12 aspirin suppositories using cocoa butter as the base, he would weigh 1.77 g × 12 or 21.24 g of cocoa butter and 0.3 g × 12 or 3.6 g of aspirin.</w:t>
      </w:r>
      <w:r w:rsidDel="00000000" w:rsidR="00000000" w:rsidRPr="00000000">
        <w:rPr>
          <w:rtl w:val="0"/>
        </w:rPr>
      </w:r>
    </w:p>
    <w:p w:rsidR="00000000" w:rsidDel="00000000" w:rsidP="00000000" w:rsidRDefault="00000000" w:rsidRPr="00000000" w14:paraId="00000017">
      <w:pPr>
        <w:spacing w:after="100" w:before="100" w:lineRule="auto"/>
        <w:rPr>
          <w:color w:val="000000"/>
          <w:sz w:val="24"/>
          <w:szCs w:val="24"/>
        </w:rPr>
      </w:pPr>
      <w:r w:rsidDel="00000000" w:rsidR="00000000" w:rsidRPr="00000000">
        <w:rPr>
          <w:color w:val="332e20"/>
          <w:sz w:val="24"/>
          <w:szCs w:val="24"/>
          <w:rtl w:val="0"/>
        </w:rPr>
        <w:t xml:space="preserve">Some example density factors of drugs in cocoa butter are shown in the table below (</w:t>
      </w:r>
      <w:r w:rsidDel="00000000" w:rsidR="00000000" w:rsidRPr="00000000">
        <w:rPr>
          <w:i w:val="1"/>
          <w:color w:val="332e20"/>
          <w:sz w:val="24"/>
          <w:szCs w:val="24"/>
          <w:rtl w:val="0"/>
        </w:rPr>
        <w:t xml:space="preserve">see Remington's</w:t>
      </w:r>
      <w:r w:rsidDel="00000000" w:rsidR="00000000" w:rsidRPr="00000000">
        <w:rPr>
          <w:color w:val="332e20"/>
          <w:sz w:val="24"/>
          <w:szCs w:val="24"/>
          <w:rtl w:val="0"/>
        </w:rPr>
        <w:t xml:space="preserve">):</w:t>
      </w:r>
      <w:r w:rsidDel="00000000" w:rsidR="00000000" w:rsidRPr="00000000">
        <w:rPr>
          <w:rtl w:val="0"/>
        </w:rPr>
      </w:r>
    </w:p>
    <w:tbl>
      <w:tblPr>
        <w:tblStyle w:val="Table1"/>
        <w:tblW w:w="7005.0" w:type="dxa"/>
        <w:jc w:val="left"/>
        <w:tblInd w:w="0.0" w:type="dxa"/>
        <w:tblLayout w:type="fixed"/>
        <w:tblLook w:val="0400"/>
      </w:tblPr>
      <w:tblGrid>
        <w:gridCol w:w="5325"/>
        <w:gridCol w:w="1680"/>
        <w:tblGridChange w:id="0">
          <w:tblGrid>
            <w:gridCol w:w="5325"/>
            <w:gridCol w:w="1680"/>
          </w:tblGrid>
        </w:tblGridChange>
      </w:tblGrid>
      <w:tr>
        <w:trPr>
          <w:cantSplit w:val="0"/>
          <w:tblHeader w:val="0"/>
        </w:trPr>
        <w:tc>
          <w:tcPr>
            <w:tcBorders>
              <w:top w:color="ededed" w:space="0" w:sz="8" w:val="single"/>
              <w:left w:color="ededed" w:space="0" w:sz="8" w:val="single"/>
              <w:bottom w:color="ededed" w:space="0" w:sz="8" w:val="single"/>
              <w:right w:color="ededed" w:space="0" w:sz="8" w:val="single"/>
            </w:tcBorders>
            <w:shd w:fill="ffffff" w:val="clear"/>
            <w:vAlign w:val="center"/>
          </w:tcPr>
          <w:bookmarkStart w:colFirst="0" w:colLast="0" w:name="1fob9te" w:id="2"/>
          <w:bookmarkEnd w:id="2"/>
          <w:p w:rsidR="00000000" w:rsidDel="00000000" w:rsidP="00000000" w:rsidRDefault="00000000" w:rsidRPr="00000000" w14:paraId="00000018">
            <w:pPr>
              <w:spacing w:after="0" w:lineRule="auto"/>
              <w:rPr>
                <w:sz w:val="24"/>
                <w:szCs w:val="24"/>
              </w:rPr>
            </w:pPr>
            <w:r w:rsidDel="00000000" w:rsidR="00000000" w:rsidRPr="00000000">
              <w:rPr>
                <w:color w:val="332e20"/>
                <w:sz w:val="24"/>
                <w:szCs w:val="24"/>
                <w:rtl w:val="0"/>
              </w:rPr>
              <w:t xml:space="preserve">Aspirin</w:t>
            </w:r>
            <w:r w:rsidDel="00000000" w:rsidR="00000000" w:rsidRPr="00000000">
              <w:rPr>
                <w:rtl w:val="0"/>
              </w:rPr>
            </w:r>
          </w:p>
        </w:tc>
        <w:tc>
          <w:tcPr>
            <w:tcBorders>
              <w:top w:color="ededed" w:space="0" w:sz="8" w:val="single"/>
              <w:left w:color="ededed" w:space="0" w:sz="8" w:val="single"/>
              <w:bottom w:color="ededed" w:space="0" w:sz="8" w:val="single"/>
              <w:right w:color="ededed" w:space="0" w:sz="8" w:val="single"/>
            </w:tcBorders>
            <w:shd w:fill="ffffff" w:val="clear"/>
            <w:vAlign w:val="center"/>
          </w:tcPr>
          <w:p w:rsidR="00000000" w:rsidDel="00000000" w:rsidP="00000000" w:rsidRDefault="00000000" w:rsidRPr="00000000" w14:paraId="00000019">
            <w:pPr>
              <w:spacing w:after="0" w:lineRule="auto"/>
              <w:rPr>
                <w:sz w:val="24"/>
                <w:szCs w:val="24"/>
              </w:rPr>
            </w:pPr>
            <w:r w:rsidDel="00000000" w:rsidR="00000000" w:rsidRPr="00000000">
              <w:rPr>
                <w:color w:val="332e20"/>
                <w:sz w:val="24"/>
                <w:szCs w:val="24"/>
                <w:rtl w:val="0"/>
              </w:rPr>
              <w:t xml:space="preserve">1.3</w:t>
            </w:r>
            <w:r w:rsidDel="00000000" w:rsidR="00000000" w:rsidRPr="00000000">
              <w:rPr>
                <w:rtl w:val="0"/>
              </w:rPr>
            </w:r>
          </w:p>
        </w:tc>
      </w:tr>
      <w:tr>
        <w:trPr>
          <w:cantSplit w:val="0"/>
          <w:tblHeader w:val="0"/>
        </w:trPr>
        <w:tc>
          <w:tcPr>
            <w:tcBorders>
              <w:top w:color="ededed" w:space="0" w:sz="8" w:val="single"/>
              <w:left w:color="ededed" w:space="0" w:sz="8" w:val="single"/>
              <w:bottom w:color="ededed" w:space="0" w:sz="8" w:val="single"/>
              <w:right w:color="ededed" w:space="0" w:sz="8" w:val="single"/>
            </w:tcBorders>
            <w:shd w:fill="ffffff" w:val="clear"/>
            <w:vAlign w:val="center"/>
          </w:tcPr>
          <w:p w:rsidR="00000000" w:rsidDel="00000000" w:rsidP="00000000" w:rsidRDefault="00000000" w:rsidRPr="00000000" w14:paraId="0000001A">
            <w:pPr>
              <w:spacing w:after="0" w:lineRule="auto"/>
              <w:rPr>
                <w:sz w:val="24"/>
                <w:szCs w:val="24"/>
              </w:rPr>
            </w:pPr>
            <w:r w:rsidDel="00000000" w:rsidR="00000000" w:rsidRPr="00000000">
              <w:rPr>
                <w:color w:val="332e20"/>
                <w:sz w:val="24"/>
                <w:szCs w:val="24"/>
                <w:rtl w:val="0"/>
              </w:rPr>
              <w:t xml:space="preserve">Barbital</w:t>
            </w:r>
            <w:r w:rsidDel="00000000" w:rsidR="00000000" w:rsidRPr="00000000">
              <w:rPr>
                <w:rtl w:val="0"/>
              </w:rPr>
            </w:r>
          </w:p>
        </w:tc>
        <w:tc>
          <w:tcPr>
            <w:tcBorders>
              <w:top w:color="ededed" w:space="0" w:sz="8" w:val="single"/>
              <w:left w:color="ededed" w:space="0" w:sz="8" w:val="single"/>
              <w:bottom w:color="ededed" w:space="0" w:sz="8" w:val="single"/>
              <w:right w:color="ededed" w:space="0" w:sz="8" w:val="single"/>
            </w:tcBorders>
            <w:shd w:fill="ffffff" w:val="clear"/>
            <w:vAlign w:val="center"/>
          </w:tcPr>
          <w:p w:rsidR="00000000" w:rsidDel="00000000" w:rsidP="00000000" w:rsidRDefault="00000000" w:rsidRPr="00000000" w14:paraId="0000001B">
            <w:pPr>
              <w:spacing w:after="0" w:lineRule="auto"/>
              <w:rPr>
                <w:sz w:val="24"/>
                <w:szCs w:val="24"/>
              </w:rPr>
            </w:pPr>
            <w:r w:rsidDel="00000000" w:rsidR="00000000" w:rsidRPr="00000000">
              <w:rPr>
                <w:color w:val="332e20"/>
                <w:sz w:val="24"/>
                <w:szCs w:val="24"/>
                <w:rtl w:val="0"/>
              </w:rPr>
              <w:t xml:space="preserve">1.2</w:t>
            </w:r>
            <w:r w:rsidDel="00000000" w:rsidR="00000000" w:rsidRPr="00000000">
              <w:rPr>
                <w:rtl w:val="0"/>
              </w:rPr>
            </w:r>
          </w:p>
        </w:tc>
      </w:tr>
      <w:tr>
        <w:trPr>
          <w:cantSplit w:val="0"/>
          <w:trHeight w:val="30" w:hRule="atLeast"/>
          <w:tblHeader w:val="0"/>
        </w:trPr>
        <w:tc>
          <w:tcPr>
            <w:tcBorders>
              <w:top w:color="ededed" w:space="0" w:sz="8" w:val="single"/>
              <w:left w:color="ededed" w:space="0" w:sz="8" w:val="single"/>
              <w:bottom w:color="ededed" w:space="0" w:sz="8" w:val="single"/>
              <w:right w:color="ededed" w:space="0" w:sz="8" w:val="single"/>
            </w:tcBorders>
            <w:shd w:fill="ffffff" w:val="clear"/>
            <w:vAlign w:val="center"/>
          </w:tcPr>
          <w:p w:rsidR="00000000" w:rsidDel="00000000" w:rsidP="00000000" w:rsidRDefault="00000000" w:rsidRPr="00000000" w14:paraId="0000001C">
            <w:pPr>
              <w:spacing w:after="0" w:lineRule="auto"/>
              <w:rPr>
                <w:sz w:val="24"/>
                <w:szCs w:val="24"/>
              </w:rPr>
            </w:pPr>
            <w:r w:rsidDel="00000000" w:rsidR="00000000" w:rsidRPr="00000000">
              <w:rPr>
                <w:color w:val="332e20"/>
                <w:sz w:val="24"/>
                <w:szCs w:val="24"/>
                <w:rtl w:val="0"/>
              </w:rPr>
              <w:t xml:space="preserve">Bismuth salicylate</w:t>
            </w:r>
            <w:r w:rsidDel="00000000" w:rsidR="00000000" w:rsidRPr="00000000">
              <w:rPr>
                <w:rtl w:val="0"/>
              </w:rPr>
            </w:r>
          </w:p>
        </w:tc>
        <w:tc>
          <w:tcPr>
            <w:tcBorders>
              <w:top w:color="ededed" w:space="0" w:sz="8" w:val="single"/>
              <w:left w:color="ededed" w:space="0" w:sz="8" w:val="single"/>
              <w:bottom w:color="ededed" w:space="0" w:sz="8" w:val="single"/>
              <w:right w:color="ededed" w:space="0" w:sz="8" w:val="single"/>
            </w:tcBorders>
            <w:shd w:fill="ffffff" w:val="clear"/>
            <w:vAlign w:val="center"/>
          </w:tcPr>
          <w:p w:rsidR="00000000" w:rsidDel="00000000" w:rsidP="00000000" w:rsidRDefault="00000000" w:rsidRPr="00000000" w14:paraId="0000001D">
            <w:pPr>
              <w:spacing w:after="0" w:lineRule="auto"/>
              <w:rPr>
                <w:sz w:val="24"/>
                <w:szCs w:val="24"/>
              </w:rPr>
            </w:pPr>
            <w:r w:rsidDel="00000000" w:rsidR="00000000" w:rsidRPr="00000000">
              <w:rPr>
                <w:color w:val="332e20"/>
                <w:sz w:val="24"/>
                <w:szCs w:val="24"/>
                <w:rtl w:val="0"/>
              </w:rPr>
              <w:t xml:space="preserve">4.5</w:t>
            </w:r>
            <w:r w:rsidDel="00000000" w:rsidR="00000000" w:rsidRPr="00000000">
              <w:rPr>
                <w:rtl w:val="0"/>
              </w:rPr>
            </w:r>
          </w:p>
        </w:tc>
      </w:tr>
    </w:tbl>
    <w:p w:rsidR="00000000" w:rsidDel="00000000" w:rsidP="00000000" w:rsidRDefault="00000000" w:rsidRPr="00000000" w14:paraId="0000001E">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F">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0">
      <w:pPr>
        <w:rPr>
          <w:color w:val="000000"/>
          <w:sz w:val="24"/>
          <w:szCs w:val="24"/>
        </w:rPr>
      </w:pPr>
      <w:r w:rsidDel="00000000" w:rsidR="00000000" w:rsidRPr="00000000">
        <w:rPr>
          <w:rtl w:val="0"/>
        </w:rPr>
      </w:r>
    </w:p>
    <w:p w:rsidR="00000000" w:rsidDel="00000000" w:rsidP="00000000" w:rsidRDefault="00000000" w:rsidRPr="00000000" w14:paraId="00000021">
      <w:pPr>
        <w:rPr>
          <w:color w:val="000000"/>
          <w:sz w:val="24"/>
          <w:szCs w:val="24"/>
        </w:rPr>
      </w:pPr>
      <w:r w:rsidDel="00000000" w:rsidR="00000000" w:rsidRPr="00000000">
        <w:rPr>
          <w:rtl w:val="0"/>
        </w:rPr>
      </w:r>
    </w:p>
    <w:p w:rsidR="00000000" w:rsidDel="00000000" w:rsidP="00000000" w:rsidRDefault="00000000" w:rsidRPr="00000000" w14:paraId="00000022">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3">
      <w:pPr>
        <w:jc w:val="center"/>
        <w:rPr>
          <w:color w:val="000000"/>
          <w:sz w:val="24"/>
          <w:szCs w:val="24"/>
        </w:rPr>
      </w:pPr>
      <w:r w:rsidDel="00000000" w:rsidR="00000000" w:rsidRPr="00000000">
        <w:rPr>
          <w:b w:val="1"/>
          <w:color w:val="000000"/>
          <w:sz w:val="24"/>
          <w:szCs w:val="24"/>
          <w:u w:val="single"/>
          <w:rtl w:val="0"/>
        </w:rPr>
        <w:t xml:space="preserve">Exp .1- Formula (</w:t>
      </w:r>
      <w:r w:rsidDel="00000000" w:rsidR="00000000" w:rsidRPr="00000000">
        <w:rPr>
          <w:b w:val="1"/>
          <w:color w:val="000000"/>
          <w:sz w:val="24"/>
          <w:szCs w:val="24"/>
          <w:rtl w:val="0"/>
        </w:rPr>
        <w:t xml:space="preserve">10 supp)</w:t>
      </w:r>
      <w:r w:rsidDel="00000000" w:rsidR="00000000" w:rsidRPr="00000000">
        <w:rPr>
          <w:rtl w:val="0"/>
        </w:rPr>
      </w:r>
    </w:p>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Paracetamol                             100mg</w:t>
      </w:r>
    </w:p>
    <w:p w:rsidR="00000000" w:rsidDel="00000000" w:rsidP="00000000" w:rsidRDefault="00000000" w:rsidRPr="00000000" w14:paraId="00000025">
      <w:pPr>
        <w:rPr>
          <w:color w:val="000000"/>
          <w:sz w:val="24"/>
          <w:szCs w:val="24"/>
        </w:rPr>
      </w:pPr>
      <w:r w:rsidDel="00000000" w:rsidR="00000000" w:rsidRPr="00000000">
        <w:rPr>
          <w:color w:val="000000"/>
          <w:sz w:val="24"/>
          <w:szCs w:val="24"/>
          <w:rtl w:val="0"/>
        </w:rPr>
        <w:t xml:space="preserve">Witepsol                                  1300 mg</w:t>
      </w:r>
    </w:p>
    <w:p w:rsidR="00000000" w:rsidDel="00000000" w:rsidP="00000000" w:rsidRDefault="00000000" w:rsidRPr="00000000" w14:paraId="00000026">
      <w:pPr>
        <w:rPr>
          <w:color w:val="000000"/>
          <w:sz w:val="24"/>
          <w:szCs w:val="24"/>
        </w:rPr>
      </w:pPr>
      <w:r w:rsidDel="00000000" w:rsidR="00000000" w:rsidRPr="00000000">
        <w:rPr>
          <w:color w:val="000000"/>
          <w:sz w:val="24"/>
          <w:szCs w:val="24"/>
          <w:rtl w:val="0"/>
        </w:rPr>
        <w:t xml:space="preserve">For 1 supp.</w:t>
      </w:r>
    </w:p>
    <w:bookmarkStart w:colFirst="0" w:colLast="0" w:name="3znysh7" w:id="3"/>
    <w:bookmarkEnd w:id="3"/>
    <w:p w:rsidR="00000000" w:rsidDel="00000000" w:rsidP="00000000" w:rsidRDefault="00000000" w:rsidRPr="00000000" w14:paraId="00000027">
      <w:pPr>
        <w:rPr>
          <w:color w:val="000000"/>
          <w:sz w:val="24"/>
          <w:szCs w:val="24"/>
        </w:rPr>
      </w:pPr>
      <w:r w:rsidDel="00000000" w:rsidR="00000000" w:rsidRPr="00000000">
        <w:rPr>
          <w:rtl w:val="0"/>
        </w:rPr>
      </w:r>
    </w:p>
    <w:p w:rsidR="00000000" w:rsidDel="00000000" w:rsidP="00000000" w:rsidRDefault="00000000" w:rsidRPr="00000000" w14:paraId="00000028">
      <w:pPr>
        <w:rPr>
          <w:color w:val="000000"/>
          <w:sz w:val="24"/>
          <w:szCs w:val="24"/>
        </w:rPr>
      </w:pPr>
      <w:r w:rsidDel="00000000" w:rsidR="00000000" w:rsidRPr="00000000">
        <w:rPr>
          <w:color w:val="000000"/>
          <w:sz w:val="24"/>
          <w:szCs w:val="24"/>
          <w:rtl w:val="0"/>
        </w:rPr>
        <w:t xml:space="preserve">Procedure:</w:t>
      </w:r>
    </w:p>
    <w:p w:rsidR="00000000" w:rsidDel="00000000" w:rsidP="00000000" w:rsidRDefault="00000000" w:rsidRPr="00000000" w14:paraId="00000029">
      <w:pPr>
        <w:rPr>
          <w:color w:val="000000"/>
          <w:sz w:val="24"/>
          <w:szCs w:val="24"/>
        </w:rPr>
      </w:pPr>
      <w:r w:rsidDel="00000000" w:rsidR="00000000" w:rsidRPr="00000000">
        <w:rPr>
          <w:color w:val="000000"/>
          <w:sz w:val="24"/>
          <w:szCs w:val="24"/>
          <w:rtl w:val="0"/>
        </w:rPr>
        <w:t xml:space="preserve">1-Make the required calculation (amount of witepsol, paracetamol) for 10 supp.</w:t>
      </w:r>
    </w:p>
    <w:p w:rsidR="00000000" w:rsidDel="00000000" w:rsidP="00000000" w:rsidRDefault="00000000" w:rsidRPr="00000000" w14:paraId="0000002A">
      <w:pPr>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 </w:t>
      </w:r>
      <w:r w:rsidDel="00000000" w:rsidR="00000000" w:rsidRPr="00000000">
        <w:rPr>
          <w:color w:val="000000"/>
          <w:sz w:val="24"/>
          <w:szCs w:val="24"/>
          <w:rtl w:val="0"/>
        </w:rPr>
        <w:t xml:space="preserve">Weight the required amount of paracetamol and witepsol for making 10 supp.</w:t>
      </w:r>
    </w:p>
    <w:p w:rsidR="00000000" w:rsidDel="00000000" w:rsidP="00000000" w:rsidRDefault="00000000" w:rsidRPr="00000000" w14:paraId="0000002B">
      <w:pPr>
        <w:rPr>
          <w:color w:val="000000"/>
          <w:sz w:val="24"/>
          <w:szCs w:val="24"/>
        </w:rPr>
      </w:pPr>
      <w:r w:rsidDel="00000000" w:rsidR="00000000" w:rsidRPr="00000000">
        <w:rPr>
          <w:color w:val="000000"/>
          <w:sz w:val="24"/>
          <w:szCs w:val="24"/>
          <w:rtl w:val="0"/>
        </w:rPr>
        <w:t xml:space="preserve">4- Transfer the witepsol to a glass beaker, and transfer the beaker to water bath and heat at temp. 40 c.</w:t>
      </w:r>
    </w:p>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5- After melting of Witepsol add the required amount of paracetamol to the melted witepsol and mix well the components.</w:t>
      </w:r>
    </w:p>
    <w:p w:rsidR="00000000" w:rsidDel="00000000" w:rsidP="00000000" w:rsidRDefault="00000000" w:rsidRPr="00000000" w14:paraId="0000002D">
      <w:pPr>
        <w:rPr>
          <w:color w:val="000000"/>
          <w:sz w:val="24"/>
          <w:szCs w:val="24"/>
        </w:rPr>
      </w:pPr>
      <w:r w:rsidDel="00000000" w:rsidR="00000000" w:rsidRPr="00000000">
        <w:rPr>
          <w:color w:val="000000"/>
          <w:sz w:val="24"/>
          <w:szCs w:val="24"/>
          <w:rtl w:val="0"/>
        </w:rPr>
        <w:t xml:space="preserve">6-Tarnsfer the mixture to the sonicator bath if needed (degas magnitude 4 Hz).</w:t>
      </w:r>
    </w:p>
    <w:p w:rsidR="00000000" w:rsidDel="00000000" w:rsidP="00000000" w:rsidRDefault="00000000" w:rsidRPr="00000000" w14:paraId="0000002E">
      <w:pPr>
        <w:rPr>
          <w:color w:val="000000"/>
          <w:sz w:val="24"/>
          <w:szCs w:val="24"/>
        </w:rPr>
      </w:pPr>
      <w:r w:rsidDel="00000000" w:rsidR="00000000" w:rsidRPr="00000000">
        <w:rPr>
          <w:color w:val="000000"/>
          <w:sz w:val="24"/>
          <w:szCs w:val="24"/>
          <w:rtl w:val="0"/>
        </w:rPr>
        <w:t xml:space="preserve">7-Trancfar the mold to the balance tare it.</w:t>
      </w:r>
    </w:p>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8-Pour the mixture carefully at the opening of supp.  Mold until you reach the required weight.</w:t>
      </w:r>
    </w:p>
    <w:p w:rsidR="00000000" w:rsidDel="00000000" w:rsidP="00000000" w:rsidRDefault="00000000" w:rsidRPr="00000000" w14:paraId="00000030">
      <w:pPr>
        <w:rPr>
          <w:color w:val="000000"/>
          <w:sz w:val="24"/>
          <w:szCs w:val="24"/>
        </w:rPr>
      </w:pPr>
      <w:r w:rsidDel="00000000" w:rsidR="00000000" w:rsidRPr="00000000">
        <w:rPr>
          <w:color w:val="000000"/>
          <w:sz w:val="24"/>
          <w:szCs w:val="24"/>
          <w:rtl w:val="0"/>
        </w:rPr>
        <w:t xml:space="preserve">9-Tare the balance again and repeat the procedure for 5 supp.</w:t>
      </w:r>
    </w:p>
    <w:p w:rsidR="00000000" w:rsidDel="00000000" w:rsidP="00000000" w:rsidRDefault="00000000" w:rsidRPr="00000000" w14:paraId="00000031">
      <w:pPr>
        <w:rPr>
          <w:color w:val="000000"/>
          <w:sz w:val="24"/>
          <w:szCs w:val="24"/>
        </w:rPr>
      </w:pPr>
      <w:r w:rsidDel="00000000" w:rsidR="00000000" w:rsidRPr="00000000">
        <w:rPr>
          <w:color w:val="000000"/>
          <w:sz w:val="24"/>
          <w:szCs w:val="24"/>
          <w:rtl w:val="0"/>
        </w:rPr>
        <w:t xml:space="preserve">10- Transfer the mold of 5 supp. to the refrigerator.</w:t>
      </w:r>
    </w:p>
    <w:bookmarkStart w:colFirst="0" w:colLast="0" w:name="3dy6vkm" w:id="4"/>
    <w:bookmarkEnd w:id="4"/>
    <w:bookmarkStart w:colFirst="0" w:colLast="0" w:name="2et92p0" w:id="5"/>
    <w:bookmarkEnd w:id="5"/>
    <w:bookmarkStart w:colFirst="0" w:colLast="0" w:name="tyjcwt" w:id="6"/>
    <w:bookmarkEnd w:id="6"/>
    <w:p w:rsidR="00000000" w:rsidDel="00000000" w:rsidP="00000000" w:rsidRDefault="00000000" w:rsidRPr="00000000" w14:paraId="00000032">
      <w:pPr>
        <w:spacing w:after="100" w:before="100" w:lineRule="auto"/>
        <w:rPr>
          <w:color w:val="000000"/>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color w:val="332e20"/>
          <w:sz w:val="24"/>
          <w:szCs w:val="24"/>
          <w:highlight w:val="white"/>
        </w:rPr>
      </w:pPr>
      <w:r w:rsidDel="00000000" w:rsidR="00000000" w:rsidRPr="00000000">
        <w:rPr>
          <w:rtl w:val="0"/>
        </w:rPr>
      </w:r>
    </w:p>
    <w:p w:rsidR="00000000" w:rsidDel="00000000" w:rsidP="00000000" w:rsidRDefault="00000000" w:rsidRPr="00000000" w14:paraId="0000003C">
      <w:pPr>
        <w:rPr>
          <w:color w:val="332e20"/>
          <w:sz w:val="24"/>
          <w:szCs w:val="24"/>
          <w:highlight w:val="white"/>
        </w:rPr>
      </w:pPr>
      <w:r w:rsidDel="00000000" w:rsidR="00000000" w:rsidRPr="00000000">
        <w:rPr>
          <w:rtl w:val="0"/>
        </w:rPr>
      </w:r>
    </w:p>
    <w:p w:rsidR="00000000" w:rsidDel="00000000" w:rsidP="00000000" w:rsidRDefault="00000000" w:rsidRPr="00000000" w14:paraId="0000003D">
      <w:pPr>
        <w:rPr>
          <w:color w:val="332e20"/>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280" w:before="280" w:lineRule="auto"/>
        <w:jc w:val="center"/>
        <w:rPr>
          <w:color w:val="332e20"/>
          <w:sz w:val="24"/>
          <w:szCs w:val="24"/>
        </w:rPr>
      </w:pPr>
      <w:r w:rsidDel="00000000" w:rsidR="00000000" w:rsidRPr="00000000">
        <w:rPr>
          <w:b w:val="1"/>
          <w:color w:val="332e20"/>
          <w:sz w:val="24"/>
          <w:szCs w:val="24"/>
          <w:rtl w:val="0"/>
        </w:rPr>
        <w:t xml:space="preserve">Exp 2- Suppository with PEG Base</w:t>
      </w:r>
      <w:r w:rsidDel="00000000" w:rsidR="00000000" w:rsidRPr="00000000">
        <w:rPr>
          <w:rtl w:val="0"/>
        </w:rPr>
      </w:r>
    </w:p>
    <w:p w:rsidR="00000000" w:rsidDel="00000000" w:rsidP="00000000" w:rsidRDefault="00000000" w:rsidRPr="00000000" w14:paraId="0000003F">
      <w:pPr>
        <w:shd w:fill="ffffff" w:val="clear"/>
        <w:spacing w:after="280" w:before="280" w:lineRule="auto"/>
        <w:rPr>
          <w:color w:val="332e20"/>
          <w:sz w:val="24"/>
          <w:szCs w:val="24"/>
        </w:rPr>
      </w:pPr>
      <w:r w:rsidDel="00000000" w:rsidR="00000000" w:rsidRPr="00000000">
        <w:rPr>
          <w:color w:val="332e20"/>
          <w:sz w:val="24"/>
          <w:szCs w:val="24"/>
          <w:rtl w:val="0"/>
        </w:rPr>
        <w:t xml:space="preserve">PEG Base Suppositories have many different PEGs and proportions. For this experiment, use the following proportions of PEG 4000 and PEG 400.</w:t>
      </w:r>
    </w:p>
    <w:p w:rsidR="00000000" w:rsidDel="00000000" w:rsidP="00000000" w:rsidRDefault="00000000" w:rsidRPr="00000000" w14:paraId="00000040">
      <w:pPr>
        <w:shd w:fill="ffffff" w:val="clear"/>
        <w:spacing w:after="280" w:before="280" w:lineRule="auto"/>
        <w:rPr>
          <w:color w:val="332e20"/>
          <w:sz w:val="24"/>
          <w:szCs w:val="24"/>
        </w:rPr>
      </w:pPr>
      <w:r w:rsidDel="00000000" w:rsidR="00000000" w:rsidRPr="00000000">
        <w:rPr>
          <w:color w:val="332e20"/>
          <w:sz w:val="24"/>
          <w:szCs w:val="24"/>
          <w:rtl w:val="0"/>
        </w:rPr>
        <w:t xml:space="preserve">After making the base add the active ingredient as following percentages:</w:t>
      </w:r>
    </w:p>
    <w:p w:rsidR="00000000" w:rsidDel="00000000" w:rsidP="00000000" w:rsidRDefault="00000000" w:rsidRPr="00000000" w14:paraId="00000041">
      <w:pPr>
        <w:shd w:fill="ffffff" w:val="clear"/>
        <w:spacing w:after="280" w:before="280" w:lineRule="auto"/>
        <w:rPr>
          <w:color w:val="332e20"/>
          <w:sz w:val="24"/>
          <w:szCs w:val="24"/>
        </w:rPr>
      </w:pPr>
      <w:r w:rsidDel="00000000" w:rsidR="00000000" w:rsidRPr="00000000">
        <w:rPr>
          <w:rtl w:val="0"/>
        </w:rPr>
      </w:r>
    </w:p>
    <w:tbl>
      <w:tblPr>
        <w:tblStyle w:val="Table2"/>
        <w:tblW w:w="94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
        <w:gridCol w:w="1296"/>
        <w:gridCol w:w="1349"/>
        <w:gridCol w:w="2166"/>
        <w:gridCol w:w="1800"/>
        <w:gridCol w:w="1890"/>
        <w:tblGridChange w:id="0">
          <w:tblGrid>
            <w:gridCol w:w="964"/>
            <w:gridCol w:w="1296"/>
            <w:gridCol w:w="1349"/>
            <w:gridCol w:w="2166"/>
            <w:gridCol w:w="1800"/>
            <w:gridCol w:w="1890"/>
          </w:tblGrid>
        </w:tblGridChange>
      </w:tblGrid>
      <w:tr>
        <w:trPr>
          <w:cantSplit w:val="0"/>
          <w:tblHeader w:val="0"/>
        </w:trPr>
        <w:tc>
          <w:tcPr>
            <w:gridSpan w:val="4"/>
            <w:vAlign w:val="center"/>
          </w:tcPr>
          <w:p w:rsidR="00000000" w:rsidDel="00000000" w:rsidP="00000000" w:rsidRDefault="00000000" w:rsidRPr="00000000" w14:paraId="00000042">
            <w:pPr>
              <w:jc w:val="center"/>
              <w:rPr>
                <w:b w:val="1"/>
                <w:color w:val="000000"/>
                <w:sz w:val="24"/>
                <w:szCs w:val="24"/>
              </w:rPr>
            </w:pPr>
            <w:r w:rsidDel="00000000" w:rsidR="00000000" w:rsidRPr="00000000">
              <w:rPr>
                <w:b w:val="1"/>
                <w:color w:val="000000"/>
                <w:sz w:val="24"/>
                <w:szCs w:val="24"/>
                <w:rtl w:val="0"/>
              </w:rPr>
              <w:t xml:space="preserve">Ingredients</w:t>
            </w:r>
          </w:p>
        </w:tc>
        <w:tc>
          <w:tcPr>
            <w:vAlign w:val="center"/>
          </w:tcPr>
          <w:p w:rsidR="00000000" w:rsidDel="00000000" w:rsidP="00000000" w:rsidRDefault="00000000" w:rsidRPr="00000000" w14:paraId="00000046">
            <w:pPr>
              <w:jc w:val="center"/>
              <w:rPr>
                <w:b w:val="1"/>
                <w:color w:val="000000"/>
                <w:sz w:val="24"/>
                <w:szCs w:val="24"/>
              </w:rPr>
            </w:pPr>
            <w:r w:rsidDel="00000000" w:rsidR="00000000" w:rsidRPr="00000000">
              <w:rPr>
                <w:b w:val="1"/>
                <w:color w:val="000000"/>
                <w:sz w:val="24"/>
                <w:szCs w:val="24"/>
                <w:rtl w:val="0"/>
              </w:rPr>
              <w:t xml:space="preserve">Percentage</w:t>
            </w:r>
          </w:p>
        </w:tc>
        <w:tc>
          <w:tcPr>
            <w:vAlign w:val="center"/>
          </w:tcPr>
          <w:p w:rsidR="00000000" w:rsidDel="00000000" w:rsidP="00000000" w:rsidRDefault="00000000" w:rsidRPr="00000000" w14:paraId="00000047">
            <w:pPr>
              <w:jc w:val="center"/>
              <w:rPr>
                <w:b w:val="1"/>
                <w:color w:val="000000"/>
                <w:sz w:val="24"/>
                <w:szCs w:val="24"/>
              </w:rPr>
            </w:pPr>
            <w:r w:rsidDel="00000000" w:rsidR="00000000" w:rsidRPr="00000000">
              <w:rPr>
                <w:b w:val="1"/>
                <w:color w:val="000000"/>
                <w:sz w:val="24"/>
                <w:szCs w:val="24"/>
                <w:rtl w:val="0"/>
              </w:rPr>
              <w:t xml:space="preserve">Weight</w:t>
            </w:r>
          </w:p>
        </w:tc>
      </w:tr>
      <w:tr>
        <w:trPr>
          <w:cantSplit w:val="0"/>
          <w:tblHeader w:val="0"/>
        </w:trPr>
        <w:tc>
          <w:tcPr>
            <w:gridSpan w:val="4"/>
          </w:tcPr>
          <w:p w:rsidR="00000000" w:rsidDel="00000000" w:rsidP="00000000" w:rsidRDefault="00000000" w:rsidRPr="00000000" w14:paraId="00000048">
            <w:pPr>
              <w:rPr>
                <w:color w:val="000000"/>
                <w:sz w:val="24"/>
                <w:szCs w:val="24"/>
              </w:rPr>
            </w:pPr>
            <w:r w:rsidDel="00000000" w:rsidR="00000000" w:rsidRPr="00000000">
              <w:rPr>
                <w:color w:val="000000"/>
                <w:sz w:val="24"/>
                <w:szCs w:val="24"/>
                <w:rtl w:val="0"/>
              </w:rPr>
              <w:t xml:space="preserve">Paracetamol </w:t>
            </w:r>
          </w:p>
        </w:tc>
        <w:tc>
          <w:tcPr/>
          <w:p w:rsidR="00000000" w:rsidDel="00000000" w:rsidP="00000000" w:rsidRDefault="00000000" w:rsidRPr="00000000" w14:paraId="0000004C">
            <w:pPr>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04D">
            <w:pPr>
              <w:rPr>
                <w:color w:val="000000"/>
                <w:sz w:val="24"/>
                <w:szCs w:val="24"/>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04E">
            <w:pPr>
              <w:rPr>
                <w:color w:val="000000"/>
                <w:sz w:val="24"/>
                <w:szCs w:val="24"/>
              </w:rPr>
            </w:pPr>
            <w:r w:rsidDel="00000000" w:rsidR="00000000" w:rsidRPr="00000000">
              <w:rPr>
                <w:rtl w:val="0"/>
              </w:rPr>
            </w:r>
          </w:p>
        </w:tc>
        <w:tc>
          <w:tcPr/>
          <w:p w:rsidR="00000000" w:rsidDel="00000000" w:rsidP="00000000" w:rsidRDefault="00000000" w:rsidRPr="00000000" w14:paraId="0000004F">
            <w:pPr>
              <w:rPr>
                <w:b w:val="1"/>
                <w:color w:val="000000"/>
                <w:sz w:val="24"/>
                <w:szCs w:val="24"/>
              </w:rPr>
            </w:pPr>
            <w:r w:rsidDel="00000000" w:rsidR="00000000" w:rsidRPr="00000000">
              <w:rPr>
                <w:b w:val="1"/>
                <w:color w:val="000000"/>
                <w:sz w:val="24"/>
                <w:szCs w:val="24"/>
                <w:rtl w:val="0"/>
              </w:rPr>
              <w:t xml:space="preserve">Ingredient</w:t>
            </w:r>
          </w:p>
        </w:tc>
        <w:tc>
          <w:tcPr/>
          <w:p w:rsidR="00000000" w:rsidDel="00000000" w:rsidP="00000000" w:rsidRDefault="00000000" w:rsidRPr="00000000" w14:paraId="00000050">
            <w:pPr>
              <w:rPr>
                <w:b w:val="1"/>
                <w:color w:val="000000"/>
                <w:sz w:val="24"/>
                <w:szCs w:val="24"/>
              </w:rPr>
            </w:pPr>
            <w:r w:rsidDel="00000000" w:rsidR="00000000" w:rsidRPr="00000000">
              <w:rPr>
                <w:b w:val="1"/>
                <w:color w:val="000000"/>
                <w:sz w:val="24"/>
                <w:szCs w:val="24"/>
                <w:rtl w:val="0"/>
              </w:rPr>
              <w:t xml:space="preserve">Percentage </w:t>
            </w:r>
          </w:p>
        </w:tc>
        <w:tc>
          <w:tcPr/>
          <w:p w:rsidR="00000000" w:rsidDel="00000000" w:rsidP="00000000" w:rsidRDefault="00000000" w:rsidRPr="00000000" w14:paraId="00000051">
            <w:pPr>
              <w:rPr>
                <w:color w:val="000000"/>
                <w:sz w:val="24"/>
                <w:szCs w:val="24"/>
              </w:rPr>
            </w:pPr>
            <w:r w:rsidDel="00000000" w:rsidR="00000000" w:rsidRPr="00000000">
              <w:rPr>
                <w:b w:val="1"/>
                <w:color w:val="000000"/>
                <w:sz w:val="24"/>
                <w:szCs w:val="24"/>
                <w:rtl w:val="0"/>
              </w:rPr>
              <w:t xml:space="preserve">Weight</w:t>
            </w:r>
            <w:r w:rsidDel="00000000" w:rsidR="00000000" w:rsidRPr="00000000">
              <w:rPr>
                <w:rtl w:val="0"/>
              </w:rPr>
            </w:r>
          </w:p>
        </w:tc>
        <w:tc>
          <w:tcPr>
            <w:vMerge w:val="restart"/>
          </w:tcPr>
          <w:p w:rsidR="00000000" w:rsidDel="00000000" w:rsidP="00000000" w:rsidRDefault="00000000" w:rsidRPr="00000000" w14:paraId="00000052">
            <w:pPr>
              <w:spacing w:after="280" w:lineRule="auto"/>
              <w:rPr>
                <w:color w:val="000000"/>
                <w:sz w:val="24"/>
                <w:szCs w:val="24"/>
              </w:rPr>
            </w:pPr>
            <w:r w:rsidDel="00000000" w:rsidR="00000000" w:rsidRPr="00000000">
              <w:rPr>
                <w:rtl w:val="0"/>
              </w:rPr>
            </w:r>
          </w:p>
          <w:p w:rsidR="00000000" w:rsidDel="00000000" w:rsidP="00000000" w:rsidRDefault="00000000" w:rsidRPr="00000000" w14:paraId="00000053">
            <w:pPr>
              <w:spacing w:before="280" w:lineRule="auto"/>
              <w:rPr>
                <w:color w:val="000000"/>
                <w:sz w:val="24"/>
                <w:szCs w:val="24"/>
              </w:rPr>
            </w:pPr>
            <w:r w:rsidDel="00000000" w:rsidR="00000000" w:rsidRPr="00000000">
              <w:rPr>
                <w:color w:val="000000"/>
                <w:sz w:val="24"/>
                <w:szCs w:val="24"/>
                <w:rtl w:val="0"/>
              </w:rPr>
              <w:t xml:space="preserve">95%</w:t>
            </w:r>
          </w:p>
        </w:tc>
        <w:tc>
          <w:tcPr>
            <w:vMerge w:val="restart"/>
          </w:tcPr>
          <w:p w:rsidR="00000000" w:rsidDel="00000000" w:rsidP="00000000" w:rsidRDefault="00000000" w:rsidRPr="00000000" w14:paraId="00000054">
            <w:pPr>
              <w:rPr>
                <w:color w:val="000000"/>
                <w:sz w:val="24"/>
                <w:szCs w:val="24"/>
              </w:rPr>
            </w:pPr>
            <w:r w:rsidDel="00000000" w:rsidR="00000000" w:rsidRPr="00000000">
              <w:rPr>
                <w:rtl w:val="0"/>
              </w:rPr>
            </w:r>
          </w:p>
        </w:tc>
      </w:tr>
      <w:tr>
        <w:trPr>
          <w:cantSplit w:val="0"/>
          <w:trHeight w:val="615" w:hRule="atLeast"/>
          <w:tblHeader w:val="0"/>
        </w:trPr>
        <w:tc>
          <w:tcPr>
            <w:vMerge w:val="restart"/>
          </w:tcPr>
          <w:p w:rsidR="00000000" w:rsidDel="00000000" w:rsidP="00000000" w:rsidRDefault="00000000" w:rsidRPr="00000000" w14:paraId="00000055">
            <w:pPr>
              <w:spacing w:after="280" w:lineRule="auto"/>
              <w:rPr>
                <w:color w:val="000000"/>
                <w:sz w:val="24"/>
                <w:szCs w:val="24"/>
              </w:rPr>
            </w:pPr>
            <w:r w:rsidDel="00000000" w:rsidR="00000000" w:rsidRPr="00000000">
              <w:rPr>
                <w:color w:val="000000"/>
                <w:sz w:val="24"/>
                <w:szCs w:val="24"/>
                <w:rtl w:val="0"/>
              </w:rPr>
              <w:t xml:space="preserve">Base </w:t>
            </w:r>
          </w:p>
          <w:p w:rsidR="00000000" w:rsidDel="00000000" w:rsidP="00000000" w:rsidRDefault="00000000" w:rsidRPr="00000000" w14:paraId="00000056">
            <w:pPr>
              <w:spacing w:after="280" w:before="280" w:lineRule="auto"/>
              <w:rPr>
                <w:color w:val="000000"/>
                <w:sz w:val="24"/>
                <w:szCs w:val="24"/>
              </w:rPr>
            </w:pPr>
            <w:r w:rsidDel="00000000" w:rsidR="00000000" w:rsidRPr="00000000">
              <w:rPr>
                <w:rtl w:val="0"/>
              </w:rPr>
            </w:r>
          </w:p>
          <w:p w:rsidR="00000000" w:rsidDel="00000000" w:rsidP="00000000" w:rsidRDefault="00000000" w:rsidRPr="00000000" w14:paraId="00000057">
            <w:pPr>
              <w:spacing w:before="280" w:lineRule="auto"/>
              <w:rPr>
                <w:color w:val="000000"/>
                <w:sz w:val="24"/>
                <w:szCs w:val="24"/>
              </w:rPr>
            </w:pPr>
            <w:r w:rsidDel="00000000" w:rsidR="00000000" w:rsidRPr="00000000">
              <w:rPr>
                <w:rtl w:val="0"/>
              </w:rPr>
            </w:r>
          </w:p>
        </w:tc>
        <w:tc>
          <w:tcPr/>
          <w:p w:rsidR="00000000" w:rsidDel="00000000" w:rsidP="00000000" w:rsidRDefault="00000000" w:rsidRPr="00000000" w14:paraId="00000058">
            <w:pPr>
              <w:rPr>
                <w:color w:val="000000"/>
                <w:sz w:val="24"/>
                <w:szCs w:val="24"/>
              </w:rPr>
            </w:pPr>
            <w:r w:rsidDel="00000000" w:rsidR="00000000" w:rsidRPr="00000000">
              <w:rPr>
                <w:color w:val="000000"/>
                <w:sz w:val="24"/>
                <w:szCs w:val="24"/>
                <w:rtl w:val="0"/>
              </w:rPr>
              <w:t xml:space="preserve">PEG 400</w:t>
            </w:r>
          </w:p>
          <w:p w:rsidR="00000000" w:rsidDel="00000000" w:rsidP="00000000" w:rsidRDefault="00000000" w:rsidRPr="00000000" w14:paraId="00000059">
            <w:pPr>
              <w:spacing w:before="280" w:lineRule="auto"/>
              <w:rPr>
                <w:color w:val="000000"/>
                <w:sz w:val="24"/>
                <w:szCs w:val="24"/>
              </w:rPr>
            </w:pPr>
            <w:r w:rsidDel="00000000" w:rsidR="00000000" w:rsidRPr="00000000">
              <w:rPr>
                <w:rtl w:val="0"/>
              </w:rPr>
            </w:r>
          </w:p>
        </w:tc>
        <w:tc>
          <w:tcPr/>
          <w:p w:rsidR="00000000" w:rsidDel="00000000" w:rsidP="00000000" w:rsidRDefault="00000000" w:rsidRPr="00000000" w14:paraId="0000005A">
            <w:pPr>
              <w:rPr>
                <w:color w:val="000000"/>
                <w:sz w:val="24"/>
                <w:szCs w:val="24"/>
              </w:rPr>
            </w:pPr>
            <w:r w:rsidDel="00000000" w:rsidR="00000000" w:rsidRPr="00000000">
              <w:rPr>
                <w:color w:val="000000"/>
                <w:sz w:val="24"/>
                <w:szCs w:val="24"/>
                <w:rtl w:val="0"/>
              </w:rPr>
              <w:t xml:space="preserve">40%</w:t>
            </w:r>
          </w:p>
          <w:p w:rsidR="00000000" w:rsidDel="00000000" w:rsidP="00000000" w:rsidRDefault="00000000" w:rsidRPr="00000000" w14:paraId="0000005B">
            <w:pPr>
              <w:spacing w:before="280" w:lineRule="auto"/>
              <w:rPr>
                <w:color w:val="000000"/>
                <w:sz w:val="24"/>
                <w:szCs w:val="24"/>
              </w:rPr>
            </w:pPr>
            <w:r w:rsidDel="00000000" w:rsidR="00000000" w:rsidRPr="00000000">
              <w:rPr>
                <w:rtl w:val="0"/>
              </w:rPr>
            </w:r>
          </w:p>
        </w:tc>
        <w:tc>
          <w:tcPr/>
          <w:p w:rsidR="00000000" w:rsidDel="00000000" w:rsidP="00000000" w:rsidRDefault="00000000" w:rsidRPr="00000000" w14:paraId="0000005C">
            <w:pPr>
              <w:rPr>
                <w:color w:val="000000"/>
                <w:sz w:val="24"/>
                <w:szCs w:val="24"/>
              </w:rPr>
            </w:pPr>
            <w:r w:rsidDel="00000000" w:rsidR="00000000" w:rsidRPr="00000000">
              <w:rPr>
                <w:rtl w:val="0"/>
              </w:rPr>
            </w:r>
          </w:p>
          <w:p w:rsidR="00000000" w:rsidDel="00000000" w:rsidP="00000000" w:rsidRDefault="00000000" w:rsidRPr="00000000" w14:paraId="0000005D">
            <w:pPr>
              <w:spacing w:before="280" w:lineRule="auto"/>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855"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61">
            <w:pPr>
              <w:rPr>
                <w:color w:val="000000"/>
                <w:sz w:val="24"/>
                <w:szCs w:val="24"/>
              </w:rPr>
            </w:pPr>
            <w:r w:rsidDel="00000000" w:rsidR="00000000" w:rsidRPr="00000000">
              <w:rPr>
                <w:color w:val="000000"/>
                <w:sz w:val="24"/>
                <w:szCs w:val="24"/>
                <w:rtl w:val="0"/>
              </w:rPr>
              <w:t xml:space="preserve">PEG 4000</w:t>
            </w:r>
          </w:p>
        </w:tc>
        <w:tc>
          <w:tcPr/>
          <w:p w:rsidR="00000000" w:rsidDel="00000000" w:rsidP="00000000" w:rsidRDefault="00000000" w:rsidRPr="00000000" w14:paraId="00000062">
            <w:pPr>
              <w:ind w:left="102" w:firstLine="0"/>
              <w:rPr>
                <w:color w:val="000000"/>
                <w:sz w:val="24"/>
                <w:szCs w:val="24"/>
              </w:rPr>
            </w:pPr>
            <w:r w:rsidDel="00000000" w:rsidR="00000000" w:rsidRPr="00000000">
              <w:rPr>
                <w:color w:val="000000"/>
                <w:sz w:val="24"/>
                <w:szCs w:val="24"/>
                <w:rtl w:val="0"/>
              </w:rPr>
              <w:t xml:space="preserve">60%</w:t>
            </w:r>
          </w:p>
        </w:tc>
        <w:tc>
          <w:tcPr/>
          <w:p w:rsidR="00000000" w:rsidDel="00000000" w:rsidP="00000000" w:rsidRDefault="00000000" w:rsidRPr="00000000" w14:paraId="00000063">
            <w:pPr>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066">
      <w:pPr>
        <w:shd w:fill="ffffff" w:val="clear"/>
        <w:spacing w:after="280" w:before="280" w:lineRule="auto"/>
        <w:rPr>
          <w:color w:val="332e20"/>
          <w:sz w:val="24"/>
          <w:szCs w:val="24"/>
        </w:rPr>
      </w:pPr>
      <w:r w:rsidDel="00000000" w:rsidR="00000000" w:rsidRPr="00000000">
        <w:rPr>
          <w:color w:val="332e20"/>
          <w:sz w:val="24"/>
          <w:szCs w:val="24"/>
          <w:rtl w:val="0"/>
        </w:rPr>
        <w:t xml:space="preserve">Procedure: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the required calculation (amount of </w:t>
      </w: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PEG 4000 and  PEG 400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paracetamol) for 50 supp</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Transfer the PEG 4000 and PEG 400 to glass beaker and Melt the components using water bath (70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Remove from the heat and allow the mixture to cool near the melting point (40-50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 before pouring into the mold.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the required amount of paracetamol to the melted mixture and mix well the components.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Transfer the mold to the balance and tare it.</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the mixture carefully at the opening of supp.  Mold until you reach the required weight.</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Tare the balance again and repeat the procedure for 10 supp</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Let the mold at room temperature 30 minutes, or until solid. Do not put in refrigerator or freezer.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Carefully remove excess with a hot spatula or knife; then remove the suppositories from the mold.</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Using only perfect specimens, weigh the suppositories and record the total weight. Calculate the average suppository weight.</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2e20"/>
          <w:sz w:val="24"/>
          <w:szCs w:val="24"/>
          <w:u w:val="none"/>
          <w:shd w:fill="auto" w:val="clear"/>
          <w:vertAlign w:val="baseline"/>
          <w:rtl w:val="0"/>
        </w:rPr>
        <w:t xml:space="preserve">The melting time for the suppositories is …………………………….(disintegration machine ).</w:t>
      </w:r>
      <w:r w:rsidDel="00000000" w:rsidR="00000000" w:rsidRPr="00000000">
        <w:rPr>
          <w:rtl w:val="0"/>
        </w:rPr>
      </w:r>
    </w:p>
    <w:p w:rsidR="00000000" w:rsidDel="00000000" w:rsidP="00000000" w:rsidRDefault="00000000" w:rsidRPr="00000000" w14:paraId="00000072">
      <w:pPr>
        <w:rPr>
          <w:color w:val="000000"/>
          <w:sz w:val="24"/>
          <w:szCs w:val="24"/>
        </w:rPr>
      </w:pPr>
      <w:r w:rsidDel="00000000" w:rsidR="00000000" w:rsidRPr="00000000">
        <w:rPr>
          <w:rtl w:val="0"/>
        </w:rPr>
      </w:r>
    </w:p>
    <w:p w:rsidR="00000000" w:rsidDel="00000000" w:rsidP="00000000" w:rsidRDefault="00000000" w:rsidRPr="00000000" w14:paraId="00000073">
      <w:pPr>
        <w:shd w:fill="ffffff" w:val="clear"/>
        <w:spacing w:after="280" w:before="280" w:line="240" w:lineRule="auto"/>
        <w:rPr>
          <w:color w:val="332e20"/>
          <w:sz w:val="24"/>
          <w:szCs w:val="24"/>
        </w:rPr>
      </w:pPr>
      <w:r w:rsidDel="00000000" w:rsidR="00000000" w:rsidRPr="00000000">
        <w:rPr>
          <w:rtl w:val="0"/>
        </w:rPr>
      </w:r>
    </w:p>
    <w:p w:rsidR="00000000" w:rsidDel="00000000" w:rsidP="00000000" w:rsidRDefault="00000000" w:rsidRPr="00000000" w14:paraId="00000074">
      <w:pPr>
        <w:rPr>
          <w:color w:val="332e20"/>
          <w:sz w:val="24"/>
          <w:szCs w:val="24"/>
        </w:rPr>
      </w:pPr>
      <w:r w:rsidDel="00000000" w:rsidR="00000000" w:rsidRPr="00000000">
        <w:rPr>
          <w:color w:val="332e20"/>
          <w:sz w:val="24"/>
          <w:szCs w:val="24"/>
          <w:rtl w:val="0"/>
        </w:rPr>
        <w:t xml:space="preserve">Questions:</w:t>
      </w:r>
    </w:p>
    <w:p w:rsidR="00000000" w:rsidDel="00000000" w:rsidP="00000000" w:rsidRDefault="00000000" w:rsidRPr="00000000" w14:paraId="00000075">
      <w:pPr>
        <w:rPr>
          <w:color w:val="332e20"/>
          <w:sz w:val="24"/>
          <w:szCs w:val="24"/>
        </w:rPr>
      </w:pPr>
      <w:r w:rsidDel="00000000" w:rsidR="00000000" w:rsidRPr="00000000">
        <w:rPr>
          <w:color w:val="332e20"/>
          <w:sz w:val="24"/>
          <w:szCs w:val="24"/>
          <w:rtl w:val="0"/>
        </w:rPr>
        <w:t xml:space="preserve">Q1-discuss the types of suppositories bases used in the above formulations with brief explanation on these characteristics and uses?</w:t>
      </w:r>
    </w:p>
    <w:p w:rsidR="00000000" w:rsidDel="00000000" w:rsidP="00000000" w:rsidRDefault="00000000" w:rsidRPr="00000000" w14:paraId="00000076">
      <w:pPr>
        <w:rPr>
          <w:color w:val="332e20"/>
          <w:sz w:val="24"/>
          <w:szCs w:val="24"/>
        </w:rPr>
      </w:pPr>
      <w:r w:rsidDel="00000000" w:rsidR="00000000" w:rsidRPr="00000000">
        <w:rPr>
          <w:color w:val="332e20"/>
          <w:sz w:val="24"/>
          <w:szCs w:val="24"/>
          <w:rtl w:val="0"/>
        </w:rPr>
        <w:t xml:space="preserve">Q3- what is the effect of PEG6000 when used instead of PEG4000?</w:t>
      </w:r>
    </w:p>
    <w:p w:rsidR="00000000" w:rsidDel="00000000" w:rsidP="00000000" w:rsidRDefault="00000000" w:rsidRPr="00000000" w14:paraId="00000077">
      <w:pPr>
        <w:rPr>
          <w:color w:val="332e20"/>
          <w:sz w:val="24"/>
          <w:szCs w:val="24"/>
        </w:rPr>
      </w:pPr>
      <w:r w:rsidDel="00000000" w:rsidR="00000000" w:rsidRPr="00000000">
        <w:rPr>
          <w:color w:val="332e20"/>
          <w:sz w:val="24"/>
          <w:szCs w:val="24"/>
          <w:rtl w:val="0"/>
        </w:rPr>
        <w:t xml:space="preserve">Q3- Describe the effect of different bases on the physical characteristic of the suppositories </w:t>
      </w:r>
    </w:p>
    <w:p w:rsidR="00000000" w:rsidDel="00000000" w:rsidP="00000000" w:rsidRDefault="00000000" w:rsidRPr="00000000" w14:paraId="0000007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