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1733550</wp:posOffset>
            </wp:positionH>
            <wp:positionV relativeFrom="paragraph">
              <wp:posOffset>-408939</wp:posOffset>
            </wp:positionV>
            <wp:extent cx="2192655" cy="10287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9603" l="30552" r="40107" t="15389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42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Homework 3</w:t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Part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Pharmacotherapy 1 /PHAR452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Instructor Abdallah Abu Khalil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 and I.D  Muhammad Musleh /1162595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Dyslipidemia Case</w:t>
      </w:r>
    </w:p>
    <w:p w:rsidR="00000000" w:rsidDel="00000000" w:rsidP="00000000" w:rsidRDefault="00000000" w:rsidRPr="00000000" w14:paraId="0000001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Identify the drug-related problem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a) Dyslipidemia (Ineffective drug therapy).</w:t>
        <w:br w:type="textWrapping"/>
        <w:t xml:space="preserve">b) Uncontrolled Hypertension (Ineffective drug therapy) 162/92.</w:t>
        <w:br w:type="textWrapping"/>
        <w:t xml:space="preserve">c) Anemia.</w:t>
        <w:br w:type="textWrapping"/>
        <w:t xml:space="preserve">d) Obesity (BMI = 31.5 Kg/m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), contribute with HTN, and Dyslipidemia.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e) Patient take two NSAID ( Ibuprofen, and Naproxen) so there is adverse drug reaction (ADR).</w:t>
        <w:br w:type="textWrapping"/>
        <w:br w:type="textWrapping"/>
        <w:br w:type="textWrapping"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is the optimum plan ?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Non- pharmacotherapy:-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a) Reduce body weight.</w:t>
        <w:br w:type="textWrapping"/>
        <w:t xml:space="preserve">b)Reduce dietary fat and cholesterol.</w:t>
        <w:br w:type="textWrapping"/>
        <w:t xml:space="preserve">c)Physical Activity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Pharmacotherapy:-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a) Take Paracetamol 500mg rather than two NSAID (Ibuprofen and Naproxen)</w:t>
        <w:br w:type="textWrapping"/>
        <w:t xml:space="preserve">b) Take Atrovastatin 10mg rather than Ezetimibe.</w:t>
        <w:br w:type="textWrapping"/>
        <w:t xml:space="preserve">c) Add Diuretics drug like Hydrochlorothiazide 12.5mg once daily</w:t>
        <w:br w:type="textWrapping"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</w:tabs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Patient education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a) Do not drink Grapefruit juice; because it interact with statins</w:t>
        <w:br w:type="textWrapping"/>
        <w:t xml:space="preserve">b) Do not take a lot of painkiller (NSAID)</w:t>
        <w:br w:type="textWrapping"/>
        <w:t xml:space="preserve">c) Take Diuretics in the morning</w:t>
        <w:br w:type="textWrapping"/>
        <w:t xml:space="preserve">d) Exercise regularly</w:t>
        <w:br w:type="textWrapping"/>
        <w:t xml:space="preserve">e) Eat healthy food </w:t>
        <w:br w:type="textWrapping"/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