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4A" w:rsidRPr="00503F4A" w:rsidRDefault="00503F4A" w:rsidP="004A2223">
      <w:pPr>
        <w:jc w:val="center"/>
      </w:pPr>
      <w:r>
        <w:rPr>
          <w:noProof/>
        </w:rPr>
        <w:drawing>
          <wp:inline distT="0" distB="0" distL="0" distR="0">
            <wp:extent cx="2305050" cy="1152525"/>
            <wp:effectExtent l="19050" t="0" r="0" b="0"/>
            <wp:docPr id="1" name="Picture 0" descr="bzu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zulogo.jpg"/>
                    <pic:cNvPicPr/>
                  </pic:nvPicPr>
                  <pic:blipFill>
                    <a:blip r:embed="rId7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3BB" w:rsidRPr="00093FF7" w:rsidRDefault="007C00FD" w:rsidP="004A222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Syllabus</w:t>
      </w:r>
    </w:p>
    <w:p w:rsidR="006143BB" w:rsidRDefault="003B1240" w:rsidP="004A2223">
      <w:pPr>
        <w:jc w:val="center"/>
      </w:pPr>
      <w:r>
        <w:t>General Biology Laboratory</w:t>
      </w:r>
    </w:p>
    <w:p w:rsidR="004A2223" w:rsidRDefault="006143BB" w:rsidP="003B1240">
      <w:pPr>
        <w:jc w:val="center"/>
      </w:pPr>
      <w:r>
        <w:t xml:space="preserve">BIOL </w:t>
      </w:r>
      <w:r w:rsidR="003B1240">
        <w:t>111</w:t>
      </w:r>
      <w:r w:rsidR="008B2899">
        <w:t xml:space="preserve"> 2</w:t>
      </w:r>
      <w:r w:rsidR="008B2899" w:rsidRPr="008B2899">
        <w:rPr>
          <w:vertAlign w:val="superscript"/>
        </w:rPr>
        <w:t>nd</w:t>
      </w:r>
      <w:r w:rsidR="008B2899">
        <w:t xml:space="preserve"> Sem. 15/16</w:t>
      </w:r>
    </w:p>
    <w:p w:rsidR="0097351B" w:rsidRPr="0097351B" w:rsidRDefault="00FE7CC9" w:rsidP="00FE7CC9">
      <w:pPr>
        <w:rPr>
          <w:rFonts w:ascii="Verdana" w:hAnsi="Verdana"/>
          <w:b/>
          <w:bCs/>
        </w:rPr>
      </w:pPr>
      <w:r w:rsidRPr="0097351B">
        <w:rPr>
          <w:rFonts w:ascii="Verdana" w:hAnsi="Verdana"/>
          <w:b/>
          <w:bCs/>
        </w:rPr>
        <w:t>Instructors:</w:t>
      </w:r>
    </w:p>
    <w:p w:rsidR="0097351B" w:rsidRDefault="0097351B" w:rsidP="00FE7CC9">
      <w:pPr>
        <w:rPr>
          <w:rFonts w:ascii="Verdana" w:hAnsi="Verdana"/>
        </w:rPr>
      </w:pPr>
    </w:p>
    <w:p w:rsidR="0097351B" w:rsidRDefault="00365341" w:rsidP="00FE7CC9">
      <w:pPr>
        <w:rPr>
          <w:rFonts w:cs="Traditional Arabic"/>
          <w:b/>
          <w:bCs/>
        </w:rPr>
      </w:pPr>
      <w:r>
        <w:rPr>
          <w:rFonts w:cs="Traditional Arabic"/>
          <w:b/>
          <w:bCs/>
        </w:rPr>
        <w:t xml:space="preserve">DR. Ahed </w:t>
      </w:r>
      <w:proofErr w:type="spellStart"/>
      <w:r w:rsidR="00FE7CC9" w:rsidRPr="00FE7CC9">
        <w:rPr>
          <w:rFonts w:cs="Traditional Arabic"/>
          <w:b/>
          <w:bCs/>
        </w:rPr>
        <w:t>Abdulkhaliq</w:t>
      </w:r>
      <w:proofErr w:type="spellEnd"/>
      <w:r w:rsidR="0097351B">
        <w:rPr>
          <w:rFonts w:cs="Traditional Arabic"/>
          <w:b/>
          <w:bCs/>
        </w:rPr>
        <w:t>:</w:t>
      </w:r>
      <w:r>
        <w:rPr>
          <w:rFonts w:cs="Traditional Arabic"/>
          <w:b/>
          <w:bCs/>
        </w:rPr>
        <w:t xml:space="preserve"> Coordinato</w:t>
      </w:r>
      <w:r w:rsidR="0097351B">
        <w:rPr>
          <w:rFonts w:cs="Traditional Arabic"/>
          <w:b/>
          <w:bCs/>
        </w:rPr>
        <w:t>r</w:t>
      </w:r>
    </w:p>
    <w:p w:rsidR="004A2223" w:rsidRDefault="0097351B" w:rsidP="00071648">
      <w:r w:rsidRPr="0097351B">
        <w:rPr>
          <w:rFonts w:cs="Traditional Arabic"/>
          <w:b/>
          <w:bCs/>
        </w:rPr>
        <w:t xml:space="preserve"> </w:t>
      </w:r>
      <w:r>
        <w:rPr>
          <w:rFonts w:cs="Traditional Arabic"/>
          <w:b/>
          <w:bCs/>
        </w:rPr>
        <w:t xml:space="preserve">Dr. </w:t>
      </w:r>
      <w:proofErr w:type="spellStart"/>
      <w:r>
        <w:rPr>
          <w:rFonts w:cs="Traditional Arabic"/>
          <w:b/>
          <w:bCs/>
        </w:rPr>
        <w:t>Jamil</w:t>
      </w:r>
      <w:proofErr w:type="spellEnd"/>
      <w:r>
        <w:rPr>
          <w:rFonts w:cs="Traditional Arabic"/>
          <w:b/>
          <w:bCs/>
        </w:rPr>
        <w:t xml:space="preserve"> Harb,</w:t>
      </w:r>
      <w:bookmarkStart w:id="0" w:name="_GoBack"/>
      <w:bookmarkEnd w:id="0"/>
      <w:r w:rsidR="00FE7CC9">
        <w:rPr>
          <w:rFonts w:cs="Traditional Arabic"/>
          <w:b/>
          <w:bCs/>
        </w:rPr>
        <w:t xml:space="preserve"> Ms. </w:t>
      </w:r>
      <w:proofErr w:type="spellStart"/>
      <w:r w:rsidR="00FE7CC9">
        <w:rPr>
          <w:rFonts w:cs="Traditional Arabic"/>
          <w:b/>
          <w:bCs/>
        </w:rPr>
        <w:t>Yara</w:t>
      </w:r>
      <w:proofErr w:type="spellEnd"/>
      <w:r w:rsidR="00FE7CC9">
        <w:rPr>
          <w:rFonts w:cs="Traditional Arabic"/>
          <w:b/>
          <w:bCs/>
        </w:rPr>
        <w:t xml:space="preserve"> Ibrahim </w:t>
      </w:r>
    </w:p>
    <w:p w:rsidR="004A2223" w:rsidRDefault="004A2223"/>
    <w:p w:rsidR="00507829" w:rsidRPr="00507829" w:rsidRDefault="00507829" w:rsidP="00F142DB">
      <w:pPr>
        <w:jc w:val="both"/>
      </w:pPr>
      <w:r w:rsidRPr="00137517">
        <w:rPr>
          <w:b/>
          <w:bCs/>
          <w:u w:val="single"/>
        </w:rPr>
        <w:t>Objective</w:t>
      </w:r>
      <w:r w:rsidR="006143BB" w:rsidRPr="00137517">
        <w:rPr>
          <w:b/>
          <w:bCs/>
          <w:u w:val="single"/>
        </w:rPr>
        <w:t>:</w:t>
      </w:r>
      <w:r w:rsidR="001D345A">
        <w:t xml:space="preserve"> This</w:t>
      </w:r>
      <w:r>
        <w:t xml:space="preserve"> </w:t>
      </w:r>
      <w:r w:rsidR="003B1240">
        <w:t xml:space="preserve">laboratory </w:t>
      </w:r>
      <w:r>
        <w:t xml:space="preserve">course is designed to </w:t>
      </w:r>
      <w:r w:rsidR="003B1240">
        <w:t xml:space="preserve">introduce </w:t>
      </w:r>
      <w:r>
        <w:t xml:space="preserve">students </w:t>
      </w:r>
      <w:r w:rsidR="003B1240">
        <w:t xml:space="preserve">to biological experimentation. </w:t>
      </w:r>
      <w:r w:rsidR="00F142DB">
        <w:t>Many as</w:t>
      </w:r>
      <w:r w:rsidR="00D85269">
        <w:t>pects of general biology that are</w:t>
      </w:r>
      <w:r w:rsidR="00F142DB">
        <w:t xml:space="preserve"> taught in introductory biology are covered, from prokaryotic and eukaryotic cells to biological </w:t>
      </w:r>
      <w:proofErr w:type="gramStart"/>
      <w:r w:rsidR="00F142DB">
        <w:t>macro</w:t>
      </w:r>
      <w:r w:rsidR="00464487">
        <w:t>-</w:t>
      </w:r>
      <w:r w:rsidR="00F142DB">
        <w:t>molecules,</w:t>
      </w:r>
      <w:proofErr w:type="gramEnd"/>
      <w:r w:rsidR="00F142DB">
        <w:t xml:space="preserve"> and from metabolism to anatomy of vertebrates and invertebrates. The scope of this course extends throughout the biological world.</w:t>
      </w:r>
      <w:r w:rsidR="00AB6903">
        <w:t xml:space="preserve"> </w:t>
      </w:r>
    </w:p>
    <w:p w:rsidR="006143BB" w:rsidRDefault="006143BB"/>
    <w:p w:rsidR="006143BB" w:rsidRPr="00C760A5" w:rsidRDefault="00F142DB" w:rsidP="00764826">
      <w:pPr>
        <w:ind w:left="1800" w:hanging="1800"/>
      </w:pPr>
      <w:r>
        <w:rPr>
          <w:b/>
          <w:bCs/>
          <w:u w:val="single"/>
        </w:rPr>
        <w:t>Lab Manual</w:t>
      </w:r>
      <w:r w:rsidR="00C67B10">
        <w:rPr>
          <w:b/>
          <w:bCs/>
        </w:rPr>
        <w:t>:</w:t>
      </w:r>
      <w:r w:rsidR="00C760A5">
        <w:t xml:space="preserve"> </w:t>
      </w:r>
      <w:r>
        <w:t xml:space="preserve">      </w:t>
      </w:r>
      <w:proofErr w:type="spellStart"/>
      <w:r>
        <w:t>Abdulkhaliq</w:t>
      </w:r>
      <w:proofErr w:type="spellEnd"/>
      <w:r>
        <w:t xml:space="preserve">, A. and S. </w:t>
      </w:r>
      <w:proofErr w:type="spellStart"/>
      <w:r>
        <w:t>Beituni</w:t>
      </w:r>
      <w:proofErr w:type="spellEnd"/>
      <w:r w:rsidR="00764826">
        <w:t>;</w:t>
      </w:r>
      <w:r>
        <w:t xml:space="preserve"> J. Stiban (</w:t>
      </w:r>
      <w:proofErr w:type="gramStart"/>
      <w:r>
        <w:t>ed</w:t>
      </w:r>
      <w:proofErr w:type="gramEnd"/>
      <w:r>
        <w:t xml:space="preserve">.). </w:t>
      </w:r>
      <w:proofErr w:type="gramStart"/>
      <w:r>
        <w:rPr>
          <w:b/>
          <w:bCs/>
          <w:i/>
          <w:iCs/>
        </w:rPr>
        <w:t>Biology 111 Lab Manual</w:t>
      </w:r>
      <w:r w:rsidR="00C67B10">
        <w:t xml:space="preserve">, </w:t>
      </w:r>
      <w:r w:rsidRPr="00F142DB">
        <w:rPr>
          <w:u w:val="single"/>
        </w:rPr>
        <w:t>5</w:t>
      </w:r>
      <w:r w:rsidR="00C67B10" w:rsidRPr="00F142DB">
        <w:rPr>
          <w:u w:val="single"/>
          <w:vertAlign w:val="superscript"/>
        </w:rPr>
        <w:t>th</w:t>
      </w:r>
      <w:r w:rsidR="00C67B10" w:rsidRPr="00F142DB">
        <w:rPr>
          <w:u w:val="single"/>
        </w:rPr>
        <w:t xml:space="preserve"> Ed.</w:t>
      </w:r>
      <w:r w:rsidRPr="00F142DB">
        <w:t xml:space="preserve"> </w:t>
      </w:r>
      <w:r>
        <w:t>(2012).</w:t>
      </w:r>
      <w:proofErr w:type="gramEnd"/>
      <w:r w:rsidR="00C67B10">
        <w:t xml:space="preserve"> </w:t>
      </w:r>
    </w:p>
    <w:p w:rsidR="000C0274" w:rsidRDefault="000C0274">
      <w:pPr>
        <w:rPr>
          <w:b/>
          <w:bCs/>
          <w:u w:val="single"/>
        </w:rPr>
      </w:pPr>
    </w:p>
    <w:p w:rsidR="006143BB" w:rsidRDefault="006143BB">
      <w:r w:rsidRPr="00F10045">
        <w:rPr>
          <w:b/>
          <w:bCs/>
          <w:u w:val="single"/>
        </w:rPr>
        <w:t>Evaluations:</w:t>
      </w:r>
      <w:r w:rsidR="00F10045">
        <w:t xml:space="preserve"> Students will be evaluated on their work in the course as follows:</w:t>
      </w:r>
    </w:p>
    <w:p w:rsidR="00F10045" w:rsidRDefault="00F10045"/>
    <w:p w:rsidR="00F10045" w:rsidRDefault="00F10045" w:rsidP="00071648">
      <w:pPr>
        <w:numPr>
          <w:ilvl w:val="0"/>
          <w:numId w:val="1"/>
        </w:numPr>
      </w:pPr>
      <w:r>
        <w:t xml:space="preserve">Quizzes and Participation </w:t>
      </w:r>
      <w:r w:rsidR="00071648">
        <w:t xml:space="preserve">   </w:t>
      </w:r>
      <w:r w:rsidR="00503F4A">
        <w:t xml:space="preserve">  </w:t>
      </w:r>
      <w:r w:rsidR="00F142DB">
        <w:t>2</w:t>
      </w:r>
      <w:r w:rsidR="00613DF0">
        <w:t>5</w:t>
      </w:r>
      <w:r>
        <w:t xml:space="preserve"> %</w:t>
      </w:r>
    </w:p>
    <w:p w:rsidR="00071648" w:rsidRDefault="00F142DB" w:rsidP="00071648">
      <w:pPr>
        <w:numPr>
          <w:ilvl w:val="0"/>
          <w:numId w:val="1"/>
        </w:numPr>
      </w:pPr>
      <w:r>
        <w:t>Lab reports</w:t>
      </w:r>
      <w:r w:rsidR="00077868">
        <w:t xml:space="preserve">                             15</w:t>
      </w:r>
      <w:r w:rsidR="00F10045">
        <w:t xml:space="preserve"> %</w:t>
      </w:r>
      <w:r w:rsidR="000E14EB">
        <w:t xml:space="preserve">  </w:t>
      </w:r>
    </w:p>
    <w:p w:rsidR="00F10045" w:rsidRDefault="008757C0" w:rsidP="00BF519E">
      <w:pPr>
        <w:numPr>
          <w:ilvl w:val="0"/>
          <w:numId w:val="1"/>
        </w:numPr>
      </w:pPr>
      <w:r>
        <w:t xml:space="preserve">Unknowns                              </w:t>
      </w:r>
      <w:r w:rsidR="00077868">
        <w:t>20</w:t>
      </w:r>
      <w:r w:rsidR="00BF519E">
        <w:t>%</w:t>
      </w:r>
    </w:p>
    <w:p w:rsidR="00F10045" w:rsidRDefault="00F142DB" w:rsidP="00F142DB">
      <w:pPr>
        <w:numPr>
          <w:ilvl w:val="0"/>
          <w:numId w:val="1"/>
        </w:numPr>
      </w:pPr>
      <w:r>
        <w:t xml:space="preserve">Final Exam  </w:t>
      </w:r>
      <w:r w:rsidR="00F10045">
        <w:t>–</w:t>
      </w:r>
      <w:r>
        <w:t>–––</w:t>
      </w:r>
      <w:r w:rsidR="00671393">
        <w:t xml:space="preserve">––––––––– </w:t>
      </w:r>
      <w:r w:rsidR="00071648">
        <w:t>4</w:t>
      </w:r>
      <w:r w:rsidR="008E28EF">
        <w:t>0</w:t>
      </w:r>
      <w:r w:rsidR="00F10045">
        <w:t xml:space="preserve"> %</w:t>
      </w:r>
    </w:p>
    <w:p w:rsidR="006143BB" w:rsidRDefault="006143BB"/>
    <w:p w:rsidR="00DC1D02" w:rsidRDefault="007D6F92" w:rsidP="00F142DB">
      <w:pPr>
        <w:jc w:val="both"/>
      </w:pPr>
      <w:r w:rsidRPr="007D6F92">
        <w:rPr>
          <w:b/>
          <w:bCs/>
          <w:u w:val="single"/>
        </w:rPr>
        <w:t>Quizzes:</w:t>
      </w:r>
      <w:r>
        <w:t xml:space="preserve"> Students are expected to come to </w:t>
      </w:r>
      <w:r w:rsidR="00F142DB">
        <w:t>the lab</w:t>
      </w:r>
      <w:r>
        <w:t xml:space="preserve"> prepared. Expect a short quiz at the beginning of each l</w:t>
      </w:r>
      <w:r w:rsidR="00F142DB">
        <w:t>ab</w:t>
      </w:r>
      <w:r>
        <w:t xml:space="preserve"> on the material </w:t>
      </w:r>
      <w:r w:rsidR="00F142DB">
        <w:t xml:space="preserve">to be </w:t>
      </w:r>
      <w:r>
        <w:t xml:space="preserve">discussed </w:t>
      </w:r>
      <w:r w:rsidRPr="00D14351">
        <w:rPr>
          <w:i/>
          <w:iCs/>
        </w:rPr>
        <w:t>in the</w:t>
      </w:r>
      <w:r w:rsidR="00F142DB">
        <w:rPr>
          <w:i/>
          <w:iCs/>
        </w:rPr>
        <w:t xml:space="preserve"> lab you are going to take! </w:t>
      </w:r>
      <w:r w:rsidR="00F142DB" w:rsidRPr="00F142DB">
        <w:rPr>
          <w:b/>
          <w:bCs/>
          <w:i/>
          <w:iCs/>
        </w:rPr>
        <w:t>Prepare each experiment well!!</w:t>
      </w:r>
      <w:r>
        <w:t xml:space="preserve"> </w:t>
      </w:r>
    </w:p>
    <w:p w:rsidR="00DC1D02" w:rsidRDefault="00DC1D02" w:rsidP="00876B80">
      <w:pPr>
        <w:jc w:val="both"/>
      </w:pPr>
    </w:p>
    <w:p w:rsidR="006A5A08" w:rsidRDefault="00ED55D7" w:rsidP="00A86AEE">
      <w:pPr>
        <w:jc w:val="both"/>
      </w:pPr>
      <w:r w:rsidRPr="00ED55D7">
        <w:rPr>
          <w:b/>
          <w:bCs/>
          <w:u w:val="single"/>
        </w:rPr>
        <w:t>Lab Evaluation:</w:t>
      </w:r>
      <w:r>
        <w:t xml:space="preserve"> </w:t>
      </w:r>
      <w:r w:rsidR="00876B80">
        <w:t xml:space="preserve">After each lab, a lab report </w:t>
      </w:r>
      <w:r w:rsidR="00F142DB">
        <w:t xml:space="preserve">(or a lab sheet) </w:t>
      </w:r>
      <w:r w:rsidR="00876B80">
        <w:t xml:space="preserve">discussing the experiments and the </w:t>
      </w:r>
      <w:r w:rsidR="004F4C97">
        <w:t>results is</w:t>
      </w:r>
      <w:r w:rsidR="00876B80">
        <w:t xml:space="preserve"> required. Lab reports are due at the beg</w:t>
      </w:r>
      <w:r w:rsidR="003123A3">
        <w:t>inning of the next lab session</w:t>
      </w:r>
      <w:r w:rsidR="00F142DB">
        <w:t xml:space="preserve"> whereas lab sheets are filled and completed after the experiments are over</w:t>
      </w:r>
      <w:r w:rsidR="003123A3">
        <w:t>.</w:t>
      </w:r>
      <w:r w:rsidR="00DE4D97">
        <w:t xml:space="preserve"> </w:t>
      </w:r>
      <w:r w:rsidR="00795A46">
        <w:t xml:space="preserve">Students are expected to finish </w:t>
      </w:r>
      <w:r w:rsidR="00F142DB">
        <w:t>general</w:t>
      </w:r>
      <w:r w:rsidR="00795A46">
        <w:t xml:space="preserve"> biology with good knowledge of basic lab techniques used in modern biology.</w:t>
      </w:r>
    </w:p>
    <w:p w:rsidR="00D14351" w:rsidRDefault="00D14351" w:rsidP="006A5A08">
      <w:pPr>
        <w:jc w:val="both"/>
      </w:pPr>
    </w:p>
    <w:p w:rsidR="000C0274" w:rsidRDefault="000C0274" w:rsidP="006A5A08">
      <w:pPr>
        <w:jc w:val="both"/>
        <w:rPr>
          <w:b/>
          <w:bCs/>
          <w:u w:val="single"/>
        </w:rPr>
      </w:pPr>
    </w:p>
    <w:p w:rsidR="008D4D23" w:rsidRDefault="008D4D23" w:rsidP="006A5A08">
      <w:pPr>
        <w:jc w:val="both"/>
        <w:rPr>
          <w:b/>
          <w:bCs/>
          <w:u w:val="single"/>
        </w:rPr>
      </w:pPr>
    </w:p>
    <w:p w:rsidR="0097351B" w:rsidRDefault="0097351B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6A5A08" w:rsidRDefault="006A5A08" w:rsidP="006A5A08">
      <w:pPr>
        <w:jc w:val="both"/>
        <w:rPr>
          <w:b/>
          <w:bCs/>
          <w:u w:val="single"/>
        </w:rPr>
      </w:pPr>
      <w:r w:rsidRPr="00795A46">
        <w:rPr>
          <w:b/>
          <w:bCs/>
          <w:u w:val="single"/>
        </w:rPr>
        <w:lastRenderedPageBreak/>
        <w:t>Lab Outline:</w:t>
      </w:r>
    </w:p>
    <w:p w:rsidR="00795A46" w:rsidRPr="00795A46" w:rsidRDefault="00795A46" w:rsidP="006A5A08">
      <w:pPr>
        <w:jc w:val="both"/>
        <w:rPr>
          <w:b/>
          <w:bCs/>
          <w:u w:val="single"/>
        </w:rPr>
      </w:pPr>
    </w:p>
    <w:tbl>
      <w:tblPr>
        <w:tblStyle w:val="LightShading"/>
        <w:tblW w:w="8748" w:type="dxa"/>
        <w:tblLook w:val="04A0"/>
      </w:tblPr>
      <w:tblGrid>
        <w:gridCol w:w="2268"/>
        <w:gridCol w:w="5058"/>
        <w:gridCol w:w="1422"/>
      </w:tblGrid>
      <w:tr w:rsidR="006A5A08" w:rsidTr="00754374">
        <w:trPr>
          <w:cnfStyle w:val="100000000000"/>
        </w:trPr>
        <w:tc>
          <w:tcPr>
            <w:cnfStyle w:val="001000000000"/>
            <w:tcW w:w="2268" w:type="dxa"/>
          </w:tcPr>
          <w:p w:rsidR="006A5A08" w:rsidRPr="00795A46" w:rsidRDefault="006A5A08" w:rsidP="00795A46">
            <w:pPr>
              <w:jc w:val="center"/>
              <w:rPr>
                <w:i/>
                <w:iCs/>
              </w:rPr>
            </w:pPr>
            <w:r w:rsidRPr="00795A46">
              <w:rPr>
                <w:i/>
                <w:iCs/>
              </w:rPr>
              <w:t>Experiment</w:t>
            </w:r>
          </w:p>
        </w:tc>
        <w:tc>
          <w:tcPr>
            <w:tcW w:w="5058" w:type="dxa"/>
          </w:tcPr>
          <w:p w:rsidR="006A5A08" w:rsidRPr="00795A46" w:rsidRDefault="006A5A08" w:rsidP="00795A46">
            <w:pPr>
              <w:jc w:val="center"/>
              <w:cnfStyle w:val="100000000000"/>
              <w:rPr>
                <w:i/>
                <w:iCs/>
              </w:rPr>
            </w:pPr>
            <w:r w:rsidRPr="00795A46">
              <w:rPr>
                <w:i/>
                <w:iCs/>
              </w:rPr>
              <w:t>Title</w:t>
            </w:r>
          </w:p>
        </w:tc>
        <w:tc>
          <w:tcPr>
            <w:tcW w:w="1422" w:type="dxa"/>
          </w:tcPr>
          <w:p w:rsidR="006A5A08" w:rsidRPr="00795A46" w:rsidRDefault="006A5A08" w:rsidP="00795A46">
            <w:pPr>
              <w:jc w:val="center"/>
              <w:cnfStyle w:val="100000000000"/>
              <w:rPr>
                <w:i/>
                <w:iCs/>
              </w:rPr>
            </w:pPr>
            <w:r w:rsidRPr="00795A46">
              <w:rPr>
                <w:i/>
                <w:iCs/>
              </w:rPr>
              <w:t>Date</w:t>
            </w:r>
          </w:p>
        </w:tc>
      </w:tr>
      <w:tr w:rsidR="00314BED" w:rsidTr="00754374">
        <w:trPr>
          <w:cnfStyle w:val="000000100000"/>
        </w:trPr>
        <w:tc>
          <w:tcPr>
            <w:cnfStyle w:val="001000000000"/>
            <w:tcW w:w="2268" w:type="dxa"/>
          </w:tcPr>
          <w:p w:rsidR="00314BED" w:rsidRDefault="00314BED" w:rsidP="00793D0B">
            <w:pPr>
              <w:jc w:val="center"/>
            </w:pPr>
            <w:r>
              <w:t>1</w:t>
            </w:r>
          </w:p>
        </w:tc>
        <w:tc>
          <w:tcPr>
            <w:tcW w:w="5058" w:type="dxa"/>
          </w:tcPr>
          <w:p w:rsidR="00314BED" w:rsidRDefault="00314BED" w:rsidP="006A5A08">
            <w:pPr>
              <w:jc w:val="both"/>
              <w:cnfStyle w:val="000000100000"/>
            </w:pPr>
            <w:r>
              <w:t>The Microscope</w:t>
            </w:r>
          </w:p>
        </w:tc>
        <w:tc>
          <w:tcPr>
            <w:tcW w:w="1422" w:type="dxa"/>
          </w:tcPr>
          <w:p w:rsidR="00314BED" w:rsidRDefault="00314BED" w:rsidP="006A5A08">
            <w:pPr>
              <w:jc w:val="both"/>
              <w:cnfStyle w:val="000000100000"/>
            </w:pPr>
            <w:r>
              <w:t>Week 2</w:t>
            </w:r>
          </w:p>
        </w:tc>
      </w:tr>
      <w:tr w:rsidR="00314BED" w:rsidTr="00754374">
        <w:tc>
          <w:tcPr>
            <w:cnfStyle w:val="001000000000"/>
            <w:tcW w:w="2268" w:type="dxa"/>
          </w:tcPr>
          <w:p w:rsidR="00314BED" w:rsidRDefault="00314BED" w:rsidP="00793D0B">
            <w:pPr>
              <w:jc w:val="center"/>
            </w:pPr>
            <w:r>
              <w:t>2</w:t>
            </w:r>
          </w:p>
        </w:tc>
        <w:tc>
          <w:tcPr>
            <w:tcW w:w="5058" w:type="dxa"/>
          </w:tcPr>
          <w:p w:rsidR="00314BED" w:rsidRDefault="00314BED" w:rsidP="00386AD8">
            <w:pPr>
              <w:jc w:val="both"/>
              <w:cnfStyle w:val="000000000000"/>
            </w:pPr>
            <w:r>
              <w:t>The Cell</w:t>
            </w:r>
          </w:p>
        </w:tc>
        <w:tc>
          <w:tcPr>
            <w:tcW w:w="1422" w:type="dxa"/>
          </w:tcPr>
          <w:p w:rsidR="00314BED" w:rsidRDefault="00314BED" w:rsidP="006A5A08">
            <w:pPr>
              <w:jc w:val="both"/>
              <w:cnfStyle w:val="000000000000"/>
            </w:pPr>
            <w:r>
              <w:t>Week 3</w:t>
            </w:r>
          </w:p>
        </w:tc>
      </w:tr>
      <w:tr w:rsidR="00314BED" w:rsidTr="00754374">
        <w:trPr>
          <w:cnfStyle w:val="000000100000"/>
        </w:trPr>
        <w:tc>
          <w:tcPr>
            <w:cnfStyle w:val="001000000000"/>
            <w:tcW w:w="2268" w:type="dxa"/>
          </w:tcPr>
          <w:p w:rsidR="00314BED" w:rsidRDefault="00314BED" w:rsidP="00793D0B">
            <w:pPr>
              <w:jc w:val="center"/>
            </w:pPr>
            <w:r>
              <w:t>3</w:t>
            </w:r>
          </w:p>
        </w:tc>
        <w:tc>
          <w:tcPr>
            <w:tcW w:w="5058" w:type="dxa"/>
          </w:tcPr>
          <w:p w:rsidR="00314BED" w:rsidRDefault="00314BED" w:rsidP="00386AD8">
            <w:pPr>
              <w:jc w:val="both"/>
              <w:cnfStyle w:val="000000100000"/>
            </w:pPr>
            <w:r>
              <w:t>Biological Membranes</w:t>
            </w:r>
          </w:p>
        </w:tc>
        <w:tc>
          <w:tcPr>
            <w:tcW w:w="1422" w:type="dxa"/>
          </w:tcPr>
          <w:p w:rsidR="00314BED" w:rsidRDefault="00314BED" w:rsidP="006A5A08">
            <w:pPr>
              <w:jc w:val="both"/>
              <w:cnfStyle w:val="000000100000"/>
            </w:pPr>
            <w:r>
              <w:t>Week 4</w:t>
            </w:r>
          </w:p>
        </w:tc>
      </w:tr>
      <w:tr w:rsidR="00314BED" w:rsidTr="00754374">
        <w:tc>
          <w:tcPr>
            <w:cnfStyle w:val="001000000000"/>
            <w:tcW w:w="2268" w:type="dxa"/>
          </w:tcPr>
          <w:p w:rsidR="00314BED" w:rsidRDefault="00314BED" w:rsidP="00793D0B">
            <w:pPr>
              <w:jc w:val="center"/>
            </w:pPr>
            <w:r>
              <w:t>4</w:t>
            </w:r>
          </w:p>
        </w:tc>
        <w:tc>
          <w:tcPr>
            <w:tcW w:w="5058" w:type="dxa"/>
          </w:tcPr>
          <w:p w:rsidR="00314BED" w:rsidRDefault="00314BED" w:rsidP="00386AD8">
            <w:pPr>
              <w:jc w:val="both"/>
              <w:cnfStyle w:val="000000000000"/>
            </w:pPr>
            <w:r>
              <w:t>Carbohydrates</w:t>
            </w:r>
          </w:p>
        </w:tc>
        <w:tc>
          <w:tcPr>
            <w:tcW w:w="1422" w:type="dxa"/>
          </w:tcPr>
          <w:p w:rsidR="00314BED" w:rsidRDefault="00314BED" w:rsidP="006A5A08">
            <w:pPr>
              <w:jc w:val="both"/>
              <w:cnfStyle w:val="000000000000"/>
            </w:pPr>
            <w:r>
              <w:t>Week 5</w:t>
            </w:r>
          </w:p>
        </w:tc>
      </w:tr>
      <w:tr w:rsidR="00314BED" w:rsidTr="00754374">
        <w:trPr>
          <w:cnfStyle w:val="000000100000"/>
        </w:trPr>
        <w:tc>
          <w:tcPr>
            <w:cnfStyle w:val="001000000000"/>
            <w:tcW w:w="2268" w:type="dxa"/>
          </w:tcPr>
          <w:p w:rsidR="00314BED" w:rsidRDefault="00314BED" w:rsidP="00793D0B">
            <w:pPr>
              <w:jc w:val="center"/>
            </w:pPr>
            <w:r>
              <w:t>5</w:t>
            </w:r>
          </w:p>
        </w:tc>
        <w:tc>
          <w:tcPr>
            <w:tcW w:w="5058" w:type="dxa"/>
          </w:tcPr>
          <w:p w:rsidR="00314BED" w:rsidRDefault="00314BED" w:rsidP="00386AD8">
            <w:pPr>
              <w:jc w:val="both"/>
              <w:cnfStyle w:val="000000100000"/>
            </w:pPr>
            <w:r>
              <w:t>Lipids, Proteins and Vitamins</w:t>
            </w:r>
          </w:p>
        </w:tc>
        <w:tc>
          <w:tcPr>
            <w:tcW w:w="1422" w:type="dxa"/>
          </w:tcPr>
          <w:p w:rsidR="00314BED" w:rsidRDefault="00314BED" w:rsidP="006A5A08">
            <w:pPr>
              <w:jc w:val="both"/>
              <w:cnfStyle w:val="000000100000"/>
            </w:pPr>
            <w:r>
              <w:t>Week 6</w:t>
            </w:r>
          </w:p>
        </w:tc>
      </w:tr>
      <w:tr w:rsidR="00314BED" w:rsidTr="00754374">
        <w:tc>
          <w:tcPr>
            <w:cnfStyle w:val="001000000000"/>
            <w:tcW w:w="2268" w:type="dxa"/>
          </w:tcPr>
          <w:p w:rsidR="00314BED" w:rsidRPr="00754374" w:rsidRDefault="00314BED" w:rsidP="00793D0B">
            <w:pPr>
              <w:jc w:val="center"/>
              <w:rPr>
                <w:i/>
                <w:iCs/>
              </w:rPr>
            </w:pPr>
            <w:r w:rsidRPr="00754374">
              <w:rPr>
                <w:i/>
                <w:iCs/>
              </w:rPr>
              <w:t>6</w:t>
            </w:r>
          </w:p>
        </w:tc>
        <w:tc>
          <w:tcPr>
            <w:tcW w:w="5058" w:type="dxa"/>
          </w:tcPr>
          <w:p w:rsidR="00314BED" w:rsidRDefault="00314BED" w:rsidP="00314BED">
            <w:pPr>
              <w:jc w:val="both"/>
              <w:cnfStyle w:val="000000000000"/>
            </w:pPr>
            <w:r w:rsidRPr="006A5A08">
              <w:t xml:space="preserve">Cellular </w:t>
            </w:r>
            <w:r>
              <w:t>Activities</w:t>
            </w:r>
          </w:p>
        </w:tc>
        <w:tc>
          <w:tcPr>
            <w:tcW w:w="1422" w:type="dxa"/>
          </w:tcPr>
          <w:p w:rsidR="00314BED" w:rsidRDefault="00314BED" w:rsidP="006A5A08">
            <w:pPr>
              <w:jc w:val="both"/>
              <w:cnfStyle w:val="000000000000"/>
            </w:pPr>
            <w:r>
              <w:t>Week 7</w:t>
            </w:r>
          </w:p>
        </w:tc>
      </w:tr>
      <w:tr w:rsidR="004F4C97" w:rsidTr="00754374">
        <w:trPr>
          <w:cnfStyle w:val="000000100000"/>
        </w:trPr>
        <w:tc>
          <w:tcPr>
            <w:cnfStyle w:val="001000000000"/>
            <w:tcW w:w="2268" w:type="dxa"/>
          </w:tcPr>
          <w:p w:rsidR="004F4C97" w:rsidRDefault="004F4C97" w:rsidP="00793D0B">
            <w:pPr>
              <w:jc w:val="center"/>
            </w:pPr>
            <w:r>
              <w:t>7</w:t>
            </w:r>
          </w:p>
        </w:tc>
        <w:tc>
          <w:tcPr>
            <w:tcW w:w="5058" w:type="dxa"/>
          </w:tcPr>
          <w:p w:rsidR="004F4C97" w:rsidRDefault="004F4C97" w:rsidP="00386AD8">
            <w:pPr>
              <w:jc w:val="both"/>
              <w:cnfStyle w:val="000000100000"/>
            </w:pPr>
            <w:r>
              <w:t xml:space="preserve">Cell Division – Mitosis </w:t>
            </w:r>
          </w:p>
        </w:tc>
        <w:tc>
          <w:tcPr>
            <w:tcW w:w="1422" w:type="dxa"/>
          </w:tcPr>
          <w:p w:rsidR="004F4C97" w:rsidRDefault="004F4C97" w:rsidP="006C2FF4">
            <w:pPr>
              <w:jc w:val="both"/>
              <w:cnfStyle w:val="000000100000"/>
            </w:pPr>
            <w:r>
              <w:t xml:space="preserve">Week </w:t>
            </w:r>
            <w:r w:rsidR="00465383">
              <w:t>8</w:t>
            </w:r>
          </w:p>
        </w:tc>
      </w:tr>
      <w:tr w:rsidR="004F4C97" w:rsidTr="00754374">
        <w:tc>
          <w:tcPr>
            <w:cnfStyle w:val="001000000000"/>
            <w:tcW w:w="2268" w:type="dxa"/>
          </w:tcPr>
          <w:p w:rsidR="004F4C97" w:rsidRDefault="004F4C97" w:rsidP="00793D0B">
            <w:pPr>
              <w:jc w:val="center"/>
            </w:pPr>
            <w:r>
              <w:t>8</w:t>
            </w:r>
          </w:p>
        </w:tc>
        <w:tc>
          <w:tcPr>
            <w:tcW w:w="5058" w:type="dxa"/>
          </w:tcPr>
          <w:p w:rsidR="004F4C97" w:rsidRDefault="004F4C97" w:rsidP="00386AD8">
            <w:pPr>
              <w:jc w:val="both"/>
              <w:cnfStyle w:val="000000000000"/>
            </w:pPr>
            <w:r>
              <w:t>Genetics</w:t>
            </w:r>
          </w:p>
        </w:tc>
        <w:tc>
          <w:tcPr>
            <w:tcW w:w="1422" w:type="dxa"/>
          </w:tcPr>
          <w:p w:rsidR="004F4C97" w:rsidRDefault="004F4C97" w:rsidP="00465383">
            <w:pPr>
              <w:jc w:val="both"/>
              <w:cnfStyle w:val="000000000000"/>
            </w:pPr>
            <w:r>
              <w:t xml:space="preserve">Week </w:t>
            </w:r>
            <w:r w:rsidR="00465383">
              <w:t>9</w:t>
            </w:r>
          </w:p>
        </w:tc>
      </w:tr>
      <w:tr w:rsidR="004F4C97" w:rsidTr="00754374">
        <w:trPr>
          <w:cnfStyle w:val="000000100000"/>
        </w:trPr>
        <w:tc>
          <w:tcPr>
            <w:cnfStyle w:val="001000000000"/>
            <w:tcW w:w="2268" w:type="dxa"/>
          </w:tcPr>
          <w:p w:rsidR="004F4C97" w:rsidRDefault="004F4C97" w:rsidP="00793D0B">
            <w:pPr>
              <w:jc w:val="center"/>
            </w:pPr>
            <w:r>
              <w:t>9</w:t>
            </w:r>
          </w:p>
        </w:tc>
        <w:tc>
          <w:tcPr>
            <w:tcW w:w="5058" w:type="dxa"/>
          </w:tcPr>
          <w:p w:rsidR="004F4C97" w:rsidRDefault="004F4C97" w:rsidP="00314BED">
            <w:pPr>
              <w:jc w:val="both"/>
              <w:cnfStyle w:val="000000100000"/>
            </w:pPr>
            <w:r>
              <w:t>The Diversity of Life</w:t>
            </w:r>
            <w:r w:rsidR="00613DF0">
              <w:t xml:space="preserve"> </w:t>
            </w:r>
          </w:p>
        </w:tc>
        <w:tc>
          <w:tcPr>
            <w:tcW w:w="1422" w:type="dxa"/>
          </w:tcPr>
          <w:p w:rsidR="004F4C97" w:rsidRDefault="004F4C97" w:rsidP="006C2FF4">
            <w:pPr>
              <w:jc w:val="both"/>
              <w:cnfStyle w:val="000000100000"/>
            </w:pPr>
            <w:r>
              <w:t>Week 1</w:t>
            </w:r>
            <w:r w:rsidR="00465383">
              <w:t>0</w:t>
            </w:r>
          </w:p>
        </w:tc>
      </w:tr>
      <w:tr w:rsidR="004F4C97" w:rsidTr="00754374">
        <w:tc>
          <w:tcPr>
            <w:cnfStyle w:val="001000000000"/>
            <w:tcW w:w="2268" w:type="dxa"/>
          </w:tcPr>
          <w:p w:rsidR="004F4C97" w:rsidRDefault="004F4C97" w:rsidP="00793D0B">
            <w:pPr>
              <w:jc w:val="center"/>
            </w:pPr>
            <w:r>
              <w:t>10</w:t>
            </w:r>
          </w:p>
        </w:tc>
        <w:tc>
          <w:tcPr>
            <w:tcW w:w="5058" w:type="dxa"/>
          </w:tcPr>
          <w:p w:rsidR="004F4C97" w:rsidRDefault="004F4C97" w:rsidP="00386AD8">
            <w:pPr>
              <w:jc w:val="both"/>
              <w:cnfStyle w:val="000000000000"/>
            </w:pPr>
            <w:r>
              <w:t>Cellular Organization – Animal Tissues</w:t>
            </w:r>
          </w:p>
        </w:tc>
        <w:tc>
          <w:tcPr>
            <w:tcW w:w="1422" w:type="dxa"/>
          </w:tcPr>
          <w:p w:rsidR="004F4C97" w:rsidRDefault="004F4C97" w:rsidP="006C2FF4">
            <w:pPr>
              <w:jc w:val="both"/>
              <w:cnfStyle w:val="000000000000"/>
            </w:pPr>
            <w:r>
              <w:t>Week 1</w:t>
            </w:r>
            <w:r w:rsidR="00465383">
              <w:t>1</w:t>
            </w:r>
          </w:p>
        </w:tc>
      </w:tr>
      <w:tr w:rsidR="004F4C97" w:rsidTr="00754374">
        <w:trPr>
          <w:cnfStyle w:val="000000100000"/>
        </w:trPr>
        <w:tc>
          <w:tcPr>
            <w:cnfStyle w:val="001000000000"/>
            <w:tcW w:w="2268" w:type="dxa"/>
          </w:tcPr>
          <w:p w:rsidR="004F4C97" w:rsidRDefault="004F4C97" w:rsidP="00793D0B">
            <w:pPr>
              <w:jc w:val="center"/>
            </w:pPr>
            <w:r>
              <w:t>11</w:t>
            </w:r>
          </w:p>
        </w:tc>
        <w:tc>
          <w:tcPr>
            <w:tcW w:w="5058" w:type="dxa"/>
          </w:tcPr>
          <w:p w:rsidR="004F4C97" w:rsidRDefault="004F4C97" w:rsidP="00386AD8">
            <w:pPr>
              <w:jc w:val="both"/>
              <w:cnfStyle w:val="000000100000"/>
            </w:pPr>
            <w:r>
              <w:t xml:space="preserve">Anatomy of </w:t>
            </w:r>
            <w:proofErr w:type="spellStart"/>
            <w:r>
              <w:t>Ascaris</w:t>
            </w:r>
            <w:proofErr w:type="spellEnd"/>
            <w:r>
              <w:t xml:space="preserve"> and Earthworm</w:t>
            </w:r>
          </w:p>
        </w:tc>
        <w:tc>
          <w:tcPr>
            <w:tcW w:w="1422" w:type="dxa"/>
          </w:tcPr>
          <w:p w:rsidR="004F4C97" w:rsidRDefault="004F4C97" w:rsidP="006C2FF4">
            <w:pPr>
              <w:jc w:val="both"/>
              <w:cnfStyle w:val="000000100000"/>
            </w:pPr>
            <w:r>
              <w:t>Week 1</w:t>
            </w:r>
            <w:r w:rsidR="00465383">
              <w:t>2</w:t>
            </w:r>
          </w:p>
        </w:tc>
      </w:tr>
      <w:tr w:rsidR="004F4C97" w:rsidTr="00754374">
        <w:trPr>
          <w:trHeight w:val="80"/>
        </w:trPr>
        <w:tc>
          <w:tcPr>
            <w:cnfStyle w:val="001000000000"/>
            <w:tcW w:w="2268" w:type="dxa"/>
          </w:tcPr>
          <w:p w:rsidR="004F4C97" w:rsidRDefault="004F4C97" w:rsidP="00793D0B">
            <w:pPr>
              <w:jc w:val="center"/>
            </w:pPr>
            <w:r>
              <w:t>12</w:t>
            </w:r>
          </w:p>
        </w:tc>
        <w:tc>
          <w:tcPr>
            <w:tcW w:w="5058" w:type="dxa"/>
          </w:tcPr>
          <w:p w:rsidR="004F4C97" w:rsidRDefault="004F4C97" w:rsidP="00386AD8">
            <w:pPr>
              <w:jc w:val="both"/>
              <w:cnfStyle w:val="000000000000"/>
            </w:pPr>
            <w:r>
              <w:t>Anatomy of the Rat</w:t>
            </w:r>
          </w:p>
        </w:tc>
        <w:tc>
          <w:tcPr>
            <w:tcW w:w="1422" w:type="dxa"/>
          </w:tcPr>
          <w:p w:rsidR="004F4C97" w:rsidRDefault="004F4C97" w:rsidP="006C2FF4">
            <w:pPr>
              <w:jc w:val="both"/>
              <w:cnfStyle w:val="000000000000"/>
            </w:pPr>
            <w:r>
              <w:t>Week 1</w:t>
            </w:r>
            <w:r w:rsidR="00465383">
              <w:t>3</w:t>
            </w:r>
          </w:p>
        </w:tc>
      </w:tr>
      <w:tr w:rsidR="004F4C97" w:rsidTr="00754374">
        <w:trPr>
          <w:cnfStyle w:val="000000100000"/>
        </w:trPr>
        <w:tc>
          <w:tcPr>
            <w:cnfStyle w:val="001000000000"/>
            <w:tcW w:w="2268" w:type="dxa"/>
          </w:tcPr>
          <w:p w:rsidR="004F4C97" w:rsidRDefault="004F4C97" w:rsidP="00793D0B">
            <w:pPr>
              <w:jc w:val="center"/>
            </w:pPr>
            <w:r>
              <w:t>13</w:t>
            </w:r>
          </w:p>
        </w:tc>
        <w:tc>
          <w:tcPr>
            <w:tcW w:w="5058" w:type="dxa"/>
          </w:tcPr>
          <w:p w:rsidR="004F4C97" w:rsidRPr="00EB2FE4" w:rsidRDefault="004F4C97" w:rsidP="00386AD8">
            <w:pPr>
              <w:jc w:val="both"/>
              <w:cnfStyle w:val="000000100000"/>
              <w:rPr>
                <w:b/>
                <w:bCs/>
                <w:i/>
                <w:iCs/>
              </w:rPr>
            </w:pPr>
            <w:r w:rsidRPr="00EB2FE4">
              <w:rPr>
                <w:b/>
                <w:bCs/>
                <w:i/>
                <w:iCs/>
              </w:rPr>
              <w:t>LAB FINAL EXAM</w:t>
            </w:r>
          </w:p>
        </w:tc>
        <w:tc>
          <w:tcPr>
            <w:tcW w:w="1422" w:type="dxa"/>
          </w:tcPr>
          <w:p w:rsidR="004F4C97" w:rsidRDefault="00465383" w:rsidP="006A5A08">
            <w:pPr>
              <w:jc w:val="both"/>
              <w:cnfStyle w:val="000000100000"/>
            </w:pPr>
            <w:r>
              <w:t>Week 14</w:t>
            </w:r>
          </w:p>
        </w:tc>
      </w:tr>
      <w:tr w:rsidR="004F4C97" w:rsidTr="00754374">
        <w:tc>
          <w:tcPr>
            <w:cnfStyle w:val="001000000000"/>
            <w:tcW w:w="2268" w:type="dxa"/>
          </w:tcPr>
          <w:p w:rsidR="004F4C97" w:rsidRDefault="004F4C97" w:rsidP="00386AD8">
            <w:pPr>
              <w:jc w:val="center"/>
            </w:pPr>
          </w:p>
        </w:tc>
        <w:tc>
          <w:tcPr>
            <w:tcW w:w="5058" w:type="dxa"/>
          </w:tcPr>
          <w:p w:rsidR="004F4C97" w:rsidRPr="006A5A08" w:rsidRDefault="004F4C97" w:rsidP="00386AD8">
            <w:pPr>
              <w:jc w:val="both"/>
              <w:cnfStyle w:val="000000000000"/>
              <w:rPr>
                <w:i/>
                <w:iCs/>
              </w:rPr>
            </w:pPr>
          </w:p>
        </w:tc>
        <w:tc>
          <w:tcPr>
            <w:tcW w:w="1422" w:type="dxa"/>
          </w:tcPr>
          <w:p w:rsidR="004F4C97" w:rsidRDefault="004F4C97" w:rsidP="006A5A08">
            <w:pPr>
              <w:jc w:val="both"/>
              <w:cnfStyle w:val="000000000000"/>
            </w:pPr>
          </w:p>
        </w:tc>
      </w:tr>
    </w:tbl>
    <w:p w:rsidR="005179BC" w:rsidRDefault="005179BC" w:rsidP="005179BC">
      <w:pPr>
        <w:jc w:val="center"/>
        <w:rPr>
          <w:rFonts w:ascii="Copperplate Gothic Bold" w:hAnsi="Copperplate Gothic Bold"/>
          <w:sz w:val="48"/>
          <w:szCs w:val="48"/>
        </w:rPr>
      </w:pPr>
    </w:p>
    <w:p w:rsidR="006A5A08" w:rsidRPr="005179BC" w:rsidRDefault="005179BC" w:rsidP="005179BC">
      <w:pPr>
        <w:jc w:val="center"/>
        <w:rPr>
          <w:rFonts w:ascii="Copperplate Gothic Bold" w:hAnsi="Copperplate Gothic Bold"/>
          <w:sz w:val="48"/>
          <w:szCs w:val="48"/>
        </w:rPr>
      </w:pPr>
      <w:r w:rsidRPr="005179BC">
        <w:rPr>
          <w:rFonts w:ascii="Copperplate Gothic Bold" w:hAnsi="Copperplate Gothic Bold"/>
          <w:sz w:val="48"/>
          <w:szCs w:val="48"/>
        </w:rPr>
        <w:sym w:font="Wingdings" w:char="F04A"/>
      </w:r>
      <w:r w:rsidRPr="005179BC">
        <w:rPr>
          <w:rFonts w:ascii="Copperplate Gothic Bold" w:hAnsi="Copperplate Gothic Bold"/>
          <w:sz w:val="48"/>
          <w:szCs w:val="48"/>
        </w:rPr>
        <w:t xml:space="preserve">The best of luck for all </w:t>
      </w:r>
      <w:r w:rsidRPr="005179BC">
        <w:rPr>
          <w:rFonts w:ascii="Copperplate Gothic Bold" w:hAnsi="Copperplate Gothic Bold"/>
          <w:sz w:val="48"/>
          <w:szCs w:val="48"/>
        </w:rPr>
        <w:sym w:font="Wingdings" w:char="F04A"/>
      </w:r>
    </w:p>
    <w:sectPr w:rsidR="006A5A08" w:rsidRPr="005179BC" w:rsidSect="00627BB9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DAA" w:rsidRDefault="00206DAA" w:rsidP="005179BC">
      <w:r>
        <w:separator/>
      </w:r>
    </w:p>
  </w:endnote>
  <w:endnote w:type="continuationSeparator" w:id="0">
    <w:p w:rsidR="00206DAA" w:rsidRDefault="00206DAA" w:rsidP="00517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DAA" w:rsidRDefault="00206DAA" w:rsidP="005179BC">
      <w:r>
        <w:separator/>
      </w:r>
    </w:p>
  </w:footnote>
  <w:footnote w:type="continuationSeparator" w:id="0">
    <w:p w:rsidR="00206DAA" w:rsidRDefault="00206DAA" w:rsidP="00517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041526"/>
      <w:docPartObj>
        <w:docPartGallery w:val="Page Numbers (Margins)"/>
        <w:docPartUnique/>
      </w:docPartObj>
    </w:sdtPr>
    <w:sdtContent>
      <w:p w:rsidR="005179BC" w:rsidRDefault="009F59DF">
        <w:pPr>
          <w:pStyle w:val="Header"/>
        </w:pPr>
        <w:r>
          <w:rPr>
            <w:noProof/>
          </w:rPr>
          <w:pict>
            <v:rect id="Rectangle 2" o:spid="_x0000_s18433" style="position:absolute;margin-left:0;margin-top:0;width:40.9pt;height:171.9pt;z-index:251660288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" o:allowincell="f" filled="f" stroked="f">
              <v:textbox style="layout-flow:vertical;mso-layout-flow-alt:bottom-to-top;mso-fit-shape-to-text:t">
                <w:txbxContent>
                  <w:p w:rsidR="005179BC" w:rsidRDefault="005179BC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r w:rsidR="009F59DF" w:rsidRPr="009F59DF">
                      <w:fldChar w:fldCharType="begin"/>
                    </w:r>
                    <w:r w:rsidR="00FE7CC9">
                      <w:instrText xml:space="preserve"> PAGE    \* MERGEFORMAT </w:instrText>
                    </w:r>
                    <w:r w:rsidR="009F59DF" w:rsidRPr="009F59DF">
                      <w:fldChar w:fldCharType="separate"/>
                    </w:r>
                    <w:r w:rsidR="00465383" w:rsidRPr="00465383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t>2</w:t>
                    </w:r>
                    <w:r w:rsidR="009F59DF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3D1F"/>
    <w:multiLevelType w:val="hybridMultilevel"/>
    <w:tmpl w:val="1E0E8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E502F6"/>
    <w:multiLevelType w:val="hybridMultilevel"/>
    <w:tmpl w:val="B02626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FD2759"/>
    <w:multiLevelType w:val="hybridMultilevel"/>
    <w:tmpl w:val="8C3C4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7650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/>
  <w:rsids>
    <w:rsidRoot w:val="006143BB"/>
    <w:rsid w:val="000179FC"/>
    <w:rsid w:val="00071648"/>
    <w:rsid w:val="00077868"/>
    <w:rsid w:val="00077E97"/>
    <w:rsid w:val="00092167"/>
    <w:rsid w:val="00093FF7"/>
    <w:rsid w:val="000958BF"/>
    <w:rsid w:val="00095A6B"/>
    <w:rsid w:val="0009667D"/>
    <w:rsid w:val="000B6DA2"/>
    <w:rsid w:val="000C0274"/>
    <w:rsid w:val="000E14EB"/>
    <w:rsid w:val="000E27CE"/>
    <w:rsid w:val="000F4534"/>
    <w:rsid w:val="000F53B3"/>
    <w:rsid w:val="001068C6"/>
    <w:rsid w:val="001173E3"/>
    <w:rsid w:val="00137517"/>
    <w:rsid w:val="0015631F"/>
    <w:rsid w:val="00160E1D"/>
    <w:rsid w:val="00161FD4"/>
    <w:rsid w:val="001623D0"/>
    <w:rsid w:val="0016348B"/>
    <w:rsid w:val="00177452"/>
    <w:rsid w:val="0018284F"/>
    <w:rsid w:val="001C110E"/>
    <w:rsid w:val="001D209A"/>
    <w:rsid w:val="001D345A"/>
    <w:rsid w:val="001E0412"/>
    <w:rsid w:val="002024A3"/>
    <w:rsid w:val="00206DAA"/>
    <w:rsid w:val="00255C5D"/>
    <w:rsid w:val="00263E13"/>
    <w:rsid w:val="00265A20"/>
    <w:rsid w:val="002965EA"/>
    <w:rsid w:val="002A49FA"/>
    <w:rsid w:val="002D4F0E"/>
    <w:rsid w:val="002D4FF1"/>
    <w:rsid w:val="003019C5"/>
    <w:rsid w:val="003105B4"/>
    <w:rsid w:val="003123A3"/>
    <w:rsid w:val="00314BED"/>
    <w:rsid w:val="003238B5"/>
    <w:rsid w:val="0033614D"/>
    <w:rsid w:val="003606C5"/>
    <w:rsid w:val="00365341"/>
    <w:rsid w:val="003910AE"/>
    <w:rsid w:val="003B1240"/>
    <w:rsid w:val="004061A1"/>
    <w:rsid w:val="0046183C"/>
    <w:rsid w:val="00464487"/>
    <w:rsid w:val="00465383"/>
    <w:rsid w:val="004A2223"/>
    <w:rsid w:val="004C0FA0"/>
    <w:rsid w:val="004C30DD"/>
    <w:rsid w:val="004F20FD"/>
    <w:rsid w:val="004F44CF"/>
    <w:rsid w:val="004F4C97"/>
    <w:rsid w:val="004F5F52"/>
    <w:rsid w:val="00503F4A"/>
    <w:rsid w:val="00507829"/>
    <w:rsid w:val="00515A24"/>
    <w:rsid w:val="00515A61"/>
    <w:rsid w:val="00516731"/>
    <w:rsid w:val="005179BC"/>
    <w:rsid w:val="00560AF2"/>
    <w:rsid w:val="00583FDE"/>
    <w:rsid w:val="005B0BC0"/>
    <w:rsid w:val="005B52D8"/>
    <w:rsid w:val="005F2442"/>
    <w:rsid w:val="0061396B"/>
    <w:rsid w:val="00613DF0"/>
    <w:rsid w:val="006143BB"/>
    <w:rsid w:val="00627BB9"/>
    <w:rsid w:val="00634B62"/>
    <w:rsid w:val="0066365C"/>
    <w:rsid w:val="00671393"/>
    <w:rsid w:val="006806B5"/>
    <w:rsid w:val="0068226F"/>
    <w:rsid w:val="006A5A08"/>
    <w:rsid w:val="006C4AEC"/>
    <w:rsid w:val="006D51FC"/>
    <w:rsid w:val="00740927"/>
    <w:rsid w:val="00747F53"/>
    <w:rsid w:val="00754374"/>
    <w:rsid w:val="00764826"/>
    <w:rsid w:val="0076796B"/>
    <w:rsid w:val="007867EE"/>
    <w:rsid w:val="00795A46"/>
    <w:rsid w:val="007B6F0A"/>
    <w:rsid w:val="007C00FD"/>
    <w:rsid w:val="007D3FF0"/>
    <w:rsid w:val="007D6F92"/>
    <w:rsid w:val="007E4A48"/>
    <w:rsid w:val="007F125B"/>
    <w:rsid w:val="007F6A66"/>
    <w:rsid w:val="0080298E"/>
    <w:rsid w:val="00815B5D"/>
    <w:rsid w:val="008234C2"/>
    <w:rsid w:val="00860905"/>
    <w:rsid w:val="008757C0"/>
    <w:rsid w:val="00876B80"/>
    <w:rsid w:val="008901CA"/>
    <w:rsid w:val="008B2899"/>
    <w:rsid w:val="008D4D23"/>
    <w:rsid w:val="008E28EF"/>
    <w:rsid w:val="00915DEF"/>
    <w:rsid w:val="00957CB9"/>
    <w:rsid w:val="0096507D"/>
    <w:rsid w:val="0097351B"/>
    <w:rsid w:val="00981937"/>
    <w:rsid w:val="0098755E"/>
    <w:rsid w:val="009A0F00"/>
    <w:rsid w:val="009D2749"/>
    <w:rsid w:val="009F59DF"/>
    <w:rsid w:val="00A1238F"/>
    <w:rsid w:val="00A15804"/>
    <w:rsid w:val="00A27E91"/>
    <w:rsid w:val="00A86AEE"/>
    <w:rsid w:val="00A923C5"/>
    <w:rsid w:val="00AB6903"/>
    <w:rsid w:val="00AC464E"/>
    <w:rsid w:val="00AE499E"/>
    <w:rsid w:val="00B950A9"/>
    <w:rsid w:val="00BA3652"/>
    <w:rsid w:val="00BA64D4"/>
    <w:rsid w:val="00BA6A3B"/>
    <w:rsid w:val="00BB5AD0"/>
    <w:rsid w:val="00BB7A51"/>
    <w:rsid w:val="00BF519E"/>
    <w:rsid w:val="00BF6679"/>
    <w:rsid w:val="00C36903"/>
    <w:rsid w:val="00C67B10"/>
    <w:rsid w:val="00C73A25"/>
    <w:rsid w:val="00C760A5"/>
    <w:rsid w:val="00C774FA"/>
    <w:rsid w:val="00C87BA1"/>
    <w:rsid w:val="00C90F54"/>
    <w:rsid w:val="00C939AD"/>
    <w:rsid w:val="00CB2380"/>
    <w:rsid w:val="00CE69B3"/>
    <w:rsid w:val="00CF22DE"/>
    <w:rsid w:val="00CF696D"/>
    <w:rsid w:val="00D14351"/>
    <w:rsid w:val="00D55A92"/>
    <w:rsid w:val="00D73BF7"/>
    <w:rsid w:val="00D85269"/>
    <w:rsid w:val="00D956D6"/>
    <w:rsid w:val="00D97E11"/>
    <w:rsid w:val="00DA47F8"/>
    <w:rsid w:val="00DC1D02"/>
    <w:rsid w:val="00DE4D97"/>
    <w:rsid w:val="00E420F3"/>
    <w:rsid w:val="00E715C4"/>
    <w:rsid w:val="00E919B7"/>
    <w:rsid w:val="00EA4064"/>
    <w:rsid w:val="00EB2FE4"/>
    <w:rsid w:val="00ED55D7"/>
    <w:rsid w:val="00F02959"/>
    <w:rsid w:val="00F0473E"/>
    <w:rsid w:val="00F06418"/>
    <w:rsid w:val="00F10045"/>
    <w:rsid w:val="00F142DB"/>
    <w:rsid w:val="00F30751"/>
    <w:rsid w:val="00F7302B"/>
    <w:rsid w:val="00F866EA"/>
    <w:rsid w:val="00FE7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B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2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A22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F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F4A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A5A08"/>
    <w:pPr>
      <w:spacing w:after="100" w:line="252" w:lineRule="auto"/>
    </w:pPr>
    <w:rPr>
      <w:rFonts w:asciiTheme="majorHAnsi" w:eastAsiaTheme="majorEastAsia" w:hAnsiTheme="majorHAnsi" w:cstheme="majorBidi"/>
      <w:sz w:val="22"/>
      <w:szCs w:val="22"/>
      <w:lang w:bidi="en-US"/>
    </w:rPr>
  </w:style>
  <w:style w:type="table" w:styleId="LightShading">
    <w:name w:val="Light Shading"/>
    <w:basedOn w:val="TableNormal"/>
    <w:uiPriority w:val="60"/>
    <w:rsid w:val="0096507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D143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179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79B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79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9B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B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2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A22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F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F4A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A5A08"/>
    <w:pPr>
      <w:spacing w:after="100" w:line="252" w:lineRule="auto"/>
    </w:pPr>
    <w:rPr>
      <w:rFonts w:asciiTheme="majorHAnsi" w:eastAsiaTheme="majorEastAsia" w:hAnsiTheme="majorHAnsi" w:cstheme="majorBidi"/>
      <w:sz w:val="22"/>
      <w:szCs w:val="22"/>
      <w:lang w:bidi="en-US"/>
    </w:rPr>
  </w:style>
  <w:style w:type="table" w:styleId="LightShading">
    <w:name w:val="Light Shading"/>
    <w:basedOn w:val="TableNormal"/>
    <w:uiPriority w:val="60"/>
    <w:rsid w:val="0096507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D143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179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79B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79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9B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Outline</vt:lpstr>
    </vt:vector>
  </TitlesOfParts>
  <Company>bzu</Company>
  <LinksUpToDate>false</LinksUpToDate>
  <CharactersWithSpaces>1941</CharactersWithSpaces>
  <SharedDoc>false</SharedDoc>
  <HLinks>
    <vt:vector size="18" baseType="variant">
      <vt:variant>
        <vt:i4>4390920</vt:i4>
      </vt:variant>
      <vt:variant>
        <vt:i4>6</vt:i4>
      </vt:variant>
      <vt:variant>
        <vt:i4>0</vt:i4>
      </vt:variant>
      <vt:variant>
        <vt:i4>5</vt:i4>
      </vt:variant>
      <vt:variant>
        <vt:lpwstr>http://www.birzeit.academia.edu/JohnnyStiban</vt:lpwstr>
      </vt:variant>
      <vt:variant>
        <vt:lpwstr/>
      </vt:variant>
      <vt:variant>
        <vt:i4>62</vt:i4>
      </vt:variant>
      <vt:variant>
        <vt:i4>3</vt:i4>
      </vt:variant>
      <vt:variant>
        <vt:i4>0</vt:i4>
      </vt:variant>
      <vt:variant>
        <vt:i4>5</vt:i4>
      </vt:variant>
      <vt:variant>
        <vt:lpwstr>mailto:jstiban@yahoo.com</vt:lpwstr>
      </vt:variant>
      <vt:variant>
        <vt:lpwstr/>
      </vt:variant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mailto:jstiban@birzeit.edu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Outline</dc:title>
  <dc:creator>Johnny Stiban, Ph.D.</dc:creator>
  <cp:lastModifiedBy>akhaleq</cp:lastModifiedBy>
  <cp:revision>9</cp:revision>
  <cp:lastPrinted>2012-01-18T08:59:00Z</cp:lastPrinted>
  <dcterms:created xsi:type="dcterms:W3CDTF">2016-02-13T13:35:00Z</dcterms:created>
  <dcterms:modified xsi:type="dcterms:W3CDTF">2016-03-05T12:30:00Z</dcterms:modified>
</cp:coreProperties>
</file>