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color w:val="ff0000"/>
          <w:sz w:val="23"/>
          <w:szCs w:val="23"/>
        </w:rPr>
      </w:pP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0"/>
        </w:rPr>
        <w:t xml:space="preserve">amal bader 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color w:val="ff0000"/>
          <w:sz w:val="23"/>
          <w:szCs w:val="23"/>
        </w:rPr>
      </w:pP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0"/>
        </w:rPr>
        <w:t xml:space="preserve">1182367</w:t>
      </w:r>
    </w:p>
    <w:p w:rsidR="00000000" w:rsidDel="00000000" w:rsidP="00000000" w:rsidRDefault="00000000" w:rsidRPr="00000000" w14:paraId="00000003">
      <w:pPr>
        <w:bidi w:val="1"/>
        <w:rPr>
          <w:rFonts w:ascii="Century Gothic" w:cs="Century Gothic" w:eastAsia="Century Gothic" w:hAnsi="Century Gothic"/>
          <w:color w:val="ff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color w:val="ff0000"/>
        </w:rPr>
      </w:pP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تريد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احدى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بلديات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الضفة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الغربية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توسعة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مخططها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الهيكلي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من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خلال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اضافة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مساحة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مقدارها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200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دونم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  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مخصصة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للاستخدام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السكني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.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تسعى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البلدية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الى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ان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 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يساهم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تخطيط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هذه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المنطقة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في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جعل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 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كلفة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السكن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 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في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 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المنطقة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مناسبا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لذوي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الدخل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المتوسط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،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مع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 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المحافظة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على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جودة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البيئة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 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من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حيث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التهوية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،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الجيدة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و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الانارة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الطبيعية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،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ووفرة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الغطاء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النباتي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وتوفر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الفراغات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المفتوحة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الخاصة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والعامة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.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كيف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يمكن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لهذه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البلدية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الاستفادة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من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 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احكام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قانون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تنظيم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المدن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والقرى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رقم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79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للعام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1966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0"/>
        </w:rPr>
        <w:t xml:space="preserve">  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والمخططات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المختلفة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 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الموضحة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في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هذا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القانون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(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مثل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المخطط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الهيكلي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مخطط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استخدام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الأراضي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،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المخططات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التفصيلية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،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و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مخططات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تقسيم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الاراضي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)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وكذلك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 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فئات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الاستخدام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واحكام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البناء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 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لمعمول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بها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 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داخل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 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حدود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 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الهيئات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 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المحلية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(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نظام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الابنية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والتنظيم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للهيئات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المحلية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رقم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6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لسنة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3"/>
          <w:szCs w:val="23"/>
          <w:u w:val="single"/>
          <w:rtl w:val="1"/>
        </w:rPr>
        <w:t xml:space="preserve"> 2011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  )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في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المساهمة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في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تحقيق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غايتها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3"/>
          <w:szCs w:val="23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1"/>
        </w:rPr>
        <w:t xml:space="preserve">يتطلب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المخطط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الهيكلي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التخطيط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المتوقعة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200 </w:t>
      </w:r>
      <w:r w:rsidDel="00000000" w:rsidR="00000000" w:rsidRPr="00000000">
        <w:rPr>
          <w:rtl w:val="1"/>
        </w:rPr>
        <w:t xml:space="preserve">دونم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الحالة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الاعتراضات</w:t>
      </w:r>
      <w:r w:rsidDel="00000000" w:rsidR="00000000" w:rsidRPr="00000000">
        <w:rPr>
          <w:rtl w:val="1"/>
        </w:rPr>
        <w:t xml:space="preserve"> . 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سكني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فبالتالي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تصنيفها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بالمخطط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الهيكلي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سكنية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بتصنيف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بكثافتين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ومنخفضة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لتوفير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الابنية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وأيضا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المجتمعية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الابنية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المزروعة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ارتفاعات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الطوابق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تضاريس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المنطقة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التهوية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وأيضا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المنطقة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استملاك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تتعدى</w:t>
      </w:r>
      <w:r w:rsidDel="00000000" w:rsidR="00000000" w:rsidRPr="00000000">
        <w:rPr>
          <w:rtl w:val="1"/>
        </w:rPr>
        <w:t xml:space="preserve"> 30%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الاراضي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تصنيفها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اامنطقة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وخدمات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وأيضا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مواصلات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التخطيط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المجاورة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بتصنيف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بمشاحات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مدروسة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ارتفاع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الاراضي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السكان</w:t>
      </w:r>
      <w:r w:rsidDel="00000000" w:rsidR="00000000" w:rsidRPr="00000000">
        <w:rPr>
          <w:rtl w:val="0"/>
        </w:rPr>
        <w:t xml:space="preserve"> . 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45005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bvoD3nsmdCFTP7FzczFpT2vHzg==">AMUW2mVSsH+icvtWpW+xkaUQJkPr497ocgWsdzyVPkt0+Msa+azaqr1OzFpDtUbuFjP8moySkMnRmj56+54+l3oXV9iCvBDSrwCfEOUiln7KvzhVBEIuB/M=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2021-01-19T18:33:00Z</dcterms:created>
  <dc:creator>DELL</dc:creator>
</cp:coreProperties>
</file>